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F6B9D3" w14:textId="77777777" w:rsidR="0064393E" w:rsidRPr="00454733" w:rsidRDefault="0064393E" w:rsidP="00BC2F04">
      <w:pPr>
        <w:contextualSpacing/>
        <w:jc w:val="center"/>
        <w:rPr>
          <w:b/>
          <w:szCs w:val="24"/>
        </w:rPr>
      </w:pPr>
      <w:r w:rsidRPr="00454733">
        <w:rPr>
          <w:b/>
          <w:szCs w:val="24"/>
        </w:rPr>
        <w:t>UNITED STATES DISTRICT COURT</w:t>
      </w:r>
    </w:p>
    <w:p w14:paraId="1843A7E0" w14:textId="77777777" w:rsidR="0064393E" w:rsidRPr="00454733" w:rsidRDefault="0064393E" w:rsidP="00BC2F04">
      <w:pPr>
        <w:contextualSpacing/>
        <w:jc w:val="center"/>
        <w:rPr>
          <w:b/>
          <w:szCs w:val="24"/>
        </w:rPr>
      </w:pPr>
      <w:r w:rsidRPr="00454733">
        <w:rPr>
          <w:b/>
          <w:szCs w:val="24"/>
        </w:rPr>
        <w:t>DISTRICT OF MOOT</w:t>
      </w:r>
    </w:p>
    <w:p w14:paraId="768BF624" w14:textId="77777777" w:rsidR="0064393E" w:rsidRPr="00454733" w:rsidRDefault="0064393E" w:rsidP="00BC2F04">
      <w:pPr>
        <w:contextualSpacing/>
        <w:rPr>
          <w:b/>
          <w:szCs w:val="24"/>
        </w:rPr>
      </w:pPr>
    </w:p>
    <w:p w14:paraId="726EC500" w14:textId="77777777" w:rsidR="0064393E" w:rsidRPr="00454733" w:rsidRDefault="0064393E" w:rsidP="00BC2F04">
      <w:pPr>
        <w:contextualSpacing/>
        <w:rPr>
          <w:b/>
          <w:szCs w:val="24"/>
        </w:rPr>
      </w:pPr>
      <w:r w:rsidRPr="00454733">
        <w:rPr>
          <w:b/>
          <w:szCs w:val="24"/>
        </w:rPr>
        <w:t>______________________________________________________________________________</w:t>
      </w:r>
    </w:p>
    <w:p w14:paraId="1E889001" w14:textId="77777777" w:rsidR="0064393E" w:rsidRPr="00454733" w:rsidRDefault="0064393E" w:rsidP="00BC2F04">
      <w:pPr>
        <w:contextualSpacing/>
        <w:rPr>
          <w:szCs w:val="24"/>
        </w:rPr>
      </w:pPr>
    </w:p>
    <w:p w14:paraId="78094BB4" w14:textId="77777777" w:rsidR="0064393E" w:rsidRPr="00454733" w:rsidRDefault="0064393E" w:rsidP="00BC2F04">
      <w:pPr>
        <w:contextualSpacing/>
        <w:rPr>
          <w:szCs w:val="24"/>
        </w:rPr>
      </w:pPr>
    </w:p>
    <w:p w14:paraId="17AA3453" w14:textId="77777777" w:rsidR="001A6A9F" w:rsidRDefault="0064393E" w:rsidP="00BC2F04">
      <w:pPr>
        <w:contextualSpacing/>
        <w:rPr>
          <w:szCs w:val="24"/>
        </w:rPr>
      </w:pPr>
      <w:r w:rsidRPr="00454733">
        <w:rPr>
          <w:szCs w:val="24"/>
        </w:rPr>
        <w:t xml:space="preserve">OGS TV, INC., </w:t>
      </w:r>
      <w:r w:rsidR="001A6A9F">
        <w:rPr>
          <w:szCs w:val="24"/>
        </w:rPr>
        <w:tab/>
      </w:r>
      <w:r w:rsidR="001A6A9F">
        <w:rPr>
          <w:szCs w:val="24"/>
        </w:rPr>
        <w:tab/>
      </w:r>
      <w:r w:rsidR="001A6A9F">
        <w:rPr>
          <w:szCs w:val="24"/>
        </w:rPr>
        <w:tab/>
      </w:r>
      <w:r w:rsidR="001A6A9F">
        <w:rPr>
          <w:szCs w:val="24"/>
        </w:rPr>
        <w:tab/>
      </w:r>
      <w:r w:rsidR="001A6A9F">
        <w:rPr>
          <w:szCs w:val="24"/>
        </w:rPr>
        <w:tab/>
      </w:r>
      <w:r w:rsidR="001A6A9F">
        <w:rPr>
          <w:szCs w:val="24"/>
        </w:rPr>
        <w:tab/>
        <w:t xml:space="preserve">  </w:t>
      </w:r>
      <w:r w:rsidR="001A6A9F" w:rsidRPr="00454733">
        <w:rPr>
          <w:rFonts w:eastAsia="Calibri"/>
          <w:szCs w:val="24"/>
        </w:rPr>
        <w:t>COURT FILE NO. 27-CV-12-1234</w:t>
      </w:r>
    </w:p>
    <w:p w14:paraId="77A61869" w14:textId="77777777" w:rsidR="00A224EE" w:rsidRDefault="00A224EE" w:rsidP="00BC2F04">
      <w:pPr>
        <w:ind w:firstLine="720"/>
        <w:contextualSpacing/>
        <w:rPr>
          <w:szCs w:val="24"/>
        </w:rPr>
      </w:pPr>
    </w:p>
    <w:p w14:paraId="3A036031" w14:textId="77777777" w:rsidR="0064393E" w:rsidRPr="00A224EE" w:rsidRDefault="00A224EE" w:rsidP="00BC2F04">
      <w:pPr>
        <w:ind w:firstLine="720"/>
        <w:contextualSpacing/>
        <w:rPr>
          <w:rFonts w:eastAsia="Calibri"/>
          <w:b/>
          <w:szCs w:val="24"/>
        </w:rPr>
      </w:pPr>
      <w:r>
        <w:rPr>
          <w:szCs w:val="24"/>
        </w:rPr>
        <w:t>Plaintiff,</w:t>
      </w:r>
      <w:r>
        <w:rPr>
          <w:szCs w:val="24"/>
        </w:rPr>
        <w:tab/>
      </w:r>
      <w:r>
        <w:rPr>
          <w:szCs w:val="24"/>
        </w:rPr>
        <w:tab/>
      </w:r>
      <w:r>
        <w:rPr>
          <w:szCs w:val="24"/>
        </w:rPr>
        <w:tab/>
      </w:r>
      <w:r>
        <w:rPr>
          <w:szCs w:val="24"/>
        </w:rPr>
        <w:tab/>
      </w:r>
      <w:r>
        <w:rPr>
          <w:szCs w:val="24"/>
        </w:rPr>
        <w:tab/>
      </w:r>
      <w:r>
        <w:rPr>
          <w:szCs w:val="24"/>
        </w:rPr>
        <w:tab/>
        <w:t xml:space="preserve">            </w:t>
      </w:r>
      <w:r w:rsidR="001A6A9F">
        <w:rPr>
          <w:szCs w:val="24"/>
        </w:rPr>
        <w:t xml:space="preserve">        </w:t>
      </w:r>
      <w:r w:rsidR="0064393E" w:rsidRPr="00454733">
        <w:rPr>
          <w:szCs w:val="24"/>
        </w:rPr>
        <w:t xml:space="preserve">  The Hon. Beatrice Fair</w:t>
      </w:r>
    </w:p>
    <w:p w14:paraId="2E8E0EF2" w14:textId="77777777" w:rsidR="0064393E" w:rsidRPr="00454733" w:rsidRDefault="0064393E" w:rsidP="00BC2F04">
      <w:pPr>
        <w:contextualSpacing/>
        <w:rPr>
          <w:szCs w:val="24"/>
        </w:rPr>
      </w:pPr>
    </w:p>
    <w:p w14:paraId="1AE016E9" w14:textId="77777777" w:rsidR="0064393E" w:rsidRPr="00454733" w:rsidRDefault="0064393E" w:rsidP="00BC2F04">
      <w:pPr>
        <w:ind w:firstLine="720"/>
        <w:contextualSpacing/>
        <w:rPr>
          <w:szCs w:val="24"/>
        </w:rPr>
      </w:pPr>
      <w:proofErr w:type="gramStart"/>
      <w:r w:rsidRPr="00454733">
        <w:rPr>
          <w:szCs w:val="24"/>
        </w:rPr>
        <w:t>v</w:t>
      </w:r>
      <w:proofErr w:type="gramEnd"/>
      <w:r w:rsidRPr="00454733">
        <w:rPr>
          <w:szCs w:val="24"/>
        </w:rPr>
        <w:t>.</w:t>
      </w:r>
    </w:p>
    <w:p w14:paraId="21DB9694" w14:textId="77777777" w:rsidR="0064393E" w:rsidRPr="00454733" w:rsidRDefault="0064393E" w:rsidP="00BC2F04">
      <w:pPr>
        <w:contextualSpacing/>
        <w:rPr>
          <w:szCs w:val="24"/>
        </w:rPr>
      </w:pPr>
    </w:p>
    <w:p w14:paraId="002C6C82" w14:textId="77777777" w:rsidR="0064393E" w:rsidRDefault="0064393E" w:rsidP="00BC2F04">
      <w:pPr>
        <w:contextualSpacing/>
        <w:rPr>
          <w:szCs w:val="24"/>
        </w:rPr>
      </w:pPr>
      <w:r w:rsidRPr="00454733">
        <w:rPr>
          <w:szCs w:val="24"/>
        </w:rPr>
        <w:t>ELIZABETH LIME, AND TINYTV, INC.,</w:t>
      </w:r>
    </w:p>
    <w:p w14:paraId="434B684E" w14:textId="77777777" w:rsidR="00A224EE" w:rsidRDefault="00A224EE" w:rsidP="00BC2F04">
      <w:pPr>
        <w:ind w:firstLine="720"/>
        <w:contextualSpacing/>
        <w:rPr>
          <w:szCs w:val="24"/>
        </w:rPr>
      </w:pPr>
    </w:p>
    <w:p w14:paraId="3EED5134" w14:textId="77777777" w:rsidR="0064393E" w:rsidRPr="00454733" w:rsidRDefault="0064393E" w:rsidP="00BC2F04">
      <w:pPr>
        <w:ind w:firstLine="720"/>
        <w:contextualSpacing/>
        <w:rPr>
          <w:szCs w:val="24"/>
        </w:rPr>
      </w:pPr>
      <w:r w:rsidRPr="00454733">
        <w:rPr>
          <w:szCs w:val="24"/>
        </w:rPr>
        <w:t>Defendants.</w:t>
      </w:r>
    </w:p>
    <w:p w14:paraId="31510A17" w14:textId="77777777" w:rsidR="0064393E" w:rsidRPr="00454733" w:rsidRDefault="0064393E" w:rsidP="00BC2F04">
      <w:pPr>
        <w:contextualSpacing/>
        <w:rPr>
          <w:szCs w:val="24"/>
        </w:rPr>
      </w:pPr>
    </w:p>
    <w:p w14:paraId="0CFCD1CD" w14:textId="77777777" w:rsidR="001A6A9F" w:rsidRDefault="0064393E" w:rsidP="00BC2F04">
      <w:pPr>
        <w:contextualSpacing/>
        <w:jc w:val="center"/>
        <w:rPr>
          <w:b/>
          <w:szCs w:val="24"/>
        </w:rPr>
      </w:pPr>
      <w:r w:rsidRPr="00454733">
        <w:rPr>
          <w:b/>
          <w:szCs w:val="24"/>
        </w:rPr>
        <w:t xml:space="preserve">MEMORANDUM IN SUPPORT OF DEFENDANTS’ </w:t>
      </w:r>
    </w:p>
    <w:p w14:paraId="5A0956D9" w14:textId="77777777" w:rsidR="0064393E" w:rsidRPr="00454733" w:rsidRDefault="0064393E" w:rsidP="00BC2F04">
      <w:pPr>
        <w:contextualSpacing/>
        <w:jc w:val="center"/>
        <w:rPr>
          <w:b/>
          <w:szCs w:val="24"/>
        </w:rPr>
      </w:pPr>
      <w:proofErr w:type="gramStart"/>
      <w:r w:rsidRPr="00454733">
        <w:rPr>
          <w:b/>
          <w:szCs w:val="24"/>
        </w:rPr>
        <w:t xml:space="preserve">MOTION </w:t>
      </w:r>
      <w:r w:rsidR="001A6A9F">
        <w:rPr>
          <w:b/>
          <w:szCs w:val="24"/>
        </w:rPr>
        <w:t>FOR JUDGMENT ON THE PLEADINGS</w:t>
      </w:r>
      <w:r w:rsidRPr="00454733">
        <w:rPr>
          <w:b/>
          <w:szCs w:val="24"/>
        </w:rPr>
        <w:t>.</w:t>
      </w:r>
      <w:proofErr w:type="gramEnd"/>
    </w:p>
    <w:p w14:paraId="3355B792" w14:textId="77777777" w:rsidR="0064393E" w:rsidRPr="00454733" w:rsidRDefault="0064393E" w:rsidP="00BC2F04">
      <w:pPr>
        <w:contextualSpacing/>
        <w:rPr>
          <w:szCs w:val="24"/>
        </w:rPr>
      </w:pPr>
    </w:p>
    <w:p w14:paraId="7A7035BA" w14:textId="77777777" w:rsidR="0064393E" w:rsidRPr="00454733" w:rsidRDefault="0064393E" w:rsidP="00BC2F04">
      <w:pPr>
        <w:contextualSpacing/>
        <w:rPr>
          <w:b/>
          <w:szCs w:val="24"/>
        </w:rPr>
      </w:pPr>
      <w:r w:rsidRPr="00454733">
        <w:rPr>
          <w:b/>
          <w:szCs w:val="24"/>
        </w:rPr>
        <w:t>______________________________________________________________________________</w:t>
      </w:r>
    </w:p>
    <w:p w14:paraId="3DCA0AAB" w14:textId="77777777" w:rsidR="0064393E" w:rsidRPr="00454733" w:rsidRDefault="0064393E" w:rsidP="00BC2F04">
      <w:pPr>
        <w:pStyle w:val="Heading2"/>
        <w:contextualSpacing/>
        <w:jc w:val="left"/>
        <w:rPr>
          <w:szCs w:val="24"/>
          <w:u w:val="single"/>
        </w:rPr>
      </w:pPr>
    </w:p>
    <w:p w14:paraId="0B0823C2" w14:textId="77777777" w:rsidR="0064393E" w:rsidRPr="001A6A9F" w:rsidRDefault="0064393E" w:rsidP="00BC2F04">
      <w:pPr>
        <w:pStyle w:val="Heading2"/>
        <w:contextualSpacing/>
        <w:rPr>
          <w:szCs w:val="24"/>
          <w:u w:val="single"/>
        </w:rPr>
      </w:pPr>
      <w:r w:rsidRPr="00454733">
        <w:rPr>
          <w:szCs w:val="24"/>
          <w:u w:val="single"/>
        </w:rPr>
        <w:t>INTRODUCTION</w:t>
      </w:r>
    </w:p>
    <w:p w14:paraId="52507097" w14:textId="77777777" w:rsidR="0064393E" w:rsidRPr="00454733" w:rsidRDefault="0064393E" w:rsidP="00BC2F04">
      <w:pPr>
        <w:contextualSpacing/>
        <w:rPr>
          <w:szCs w:val="24"/>
        </w:rPr>
      </w:pPr>
    </w:p>
    <w:p w14:paraId="72FC23A6" w14:textId="77777777" w:rsidR="0064393E" w:rsidRPr="00454733" w:rsidRDefault="00CB5381" w:rsidP="00BC2F04">
      <w:pPr>
        <w:spacing w:line="480" w:lineRule="auto"/>
        <w:contextualSpacing/>
        <w:rPr>
          <w:szCs w:val="24"/>
        </w:rPr>
      </w:pPr>
      <w:r w:rsidRPr="00454733">
        <w:rPr>
          <w:szCs w:val="24"/>
        </w:rPr>
        <w:tab/>
        <w:t>Defendants</w:t>
      </w:r>
      <w:r w:rsidR="0064393E" w:rsidRPr="00454733">
        <w:rPr>
          <w:szCs w:val="24"/>
        </w:rPr>
        <w:t xml:space="preserve"> Elizabeth Lime (“Ms. Lime”) and TinyTV, Inc. (“TinyTV”), submit this memorandum in suppor</w:t>
      </w:r>
      <w:r w:rsidR="001A6A9F">
        <w:rPr>
          <w:szCs w:val="24"/>
        </w:rPr>
        <w:t>t of their motion to dismiss.  Ms. Lime and TinyTV</w:t>
      </w:r>
      <w:r w:rsidR="0064393E" w:rsidRPr="00454733">
        <w:rPr>
          <w:szCs w:val="24"/>
        </w:rPr>
        <w:t xml:space="preserve"> request </w:t>
      </w:r>
      <w:r w:rsidR="00D6592A">
        <w:rPr>
          <w:szCs w:val="24"/>
        </w:rPr>
        <w:t xml:space="preserve">that the court </w:t>
      </w:r>
      <w:r w:rsidR="0064393E" w:rsidRPr="00454733">
        <w:rPr>
          <w:szCs w:val="24"/>
        </w:rPr>
        <w:t>grant this motio</w:t>
      </w:r>
      <w:r w:rsidRPr="00454733">
        <w:rPr>
          <w:szCs w:val="24"/>
        </w:rPr>
        <w:t xml:space="preserve">n </w:t>
      </w:r>
      <w:r w:rsidR="001A6A9F">
        <w:rPr>
          <w:szCs w:val="24"/>
        </w:rPr>
        <w:t>for judgment on the pleadings</w:t>
      </w:r>
      <w:r w:rsidR="0064393E" w:rsidRPr="00454733">
        <w:rPr>
          <w:szCs w:val="24"/>
        </w:rPr>
        <w:t xml:space="preserve">.  Because </w:t>
      </w:r>
      <w:r w:rsidR="00D6592A">
        <w:rPr>
          <w:szCs w:val="24"/>
        </w:rPr>
        <w:t>Plaintiff OGS TV, Inv. (“</w:t>
      </w:r>
      <w:r w:rsidR="0064393E" w:rsidRPr="00454733">
        <w:rPr>
          <w:szCs w:val="24"/>
        </w:rPr>
        <w:t>OGS</w:t>
      </w:r>
      <w:r w:rsidR="00D6592A">
        <w:rPr>
          <w:szCs w:val="24"/>
        </w:rPr>
        <w:t>”)</w:t>
      </w:r>
      <w:r w:rsidR="0064393E" w:rsidRPr="00454733">
        <w:rPr>
          <w:szCs w:val="24"/>
        </w:rPr>
        <w:t xml:space="preserve"> </w:t>
      </w:r>
      <w:r w:rsidRPr="00454733">
        <w:rPr>
          <w:szCs w:val="24"/>
        </w:rPr>
        <w:t>failed</w:t>
      </w:r>
      <w:r w:rsidR="0064393E" w:rsidRPr="00454733">
        <w:rPr>
          <w:szCs w:val="24"/>
        </w:rPr>
        <w:t xml:space="preserve"> to </w:t>
      </w:r>
      <w:r w:rsidR="001A6A9F">
        <w:rPr>
          <w:szCs w:val="24"/>
        </w:rPr>
        <w:t>obtain</w:t>
      </w:r>
      <w:r w:rsidR="0064393E" w:rsidRPr="00454733">
        <w:rPr>
          <w:szCs w:val="24"/>
        </w:rPr>
        <w:t xml:space="preserve"> Ms. Lime’s screenplay as a work-made-for-hire according to 17 U.S.C. § 101</w:t>
      </w:r>
      <w:r w:rsidR="001A6A9F">
        <w:rPr>
          <w:szCs w:val="24"/>
        </w:rPr>
        <w:t xml:space="preserve"> (2006)</w:t>
      </w:r>
      <w:r w:rsidR="0064393E" w:rsidRPr="00454733">
        <w:rPr>
          <w:szCs w:val="24"/>
        </w:rPr>
        <w:t xml:space="preserve">, OGS </w:t>
      </w:r>
      <w:r w:rsidR="001A6A9F">
        <w:rPr>
          <w:szCs w:val="24"/>
        </w:rPr>
        <w:t>is not the author</w:t>
      </w:r>
      <w:r w:rsidR="0064393E" w:rsidRPr="00454733">
        <w:rPr>
          <w:szCs w:val="24"/>
        </w:rPr>
        <w:t xml:space="preserve"> of “Anticipatory Repudiation.”  As actual author and owner </w:t>
      </w:r>
      <w:proofErr w:type="gramStart"/>
      <w:r w:rsidR="0064393E" w:rsidRPr="00454733">
        <w:rPr>
          <w:szCs w:val="24"/>
        </w:rPr>
        <w:t>of  the</w:t>
      </w:r>
      <w:proofErr w:type="gramEnd"/>
      <w:r w:rsidR="0064393E" w:rsidRPr="00454733">
        <w:rPr>
          <w:szCs w:val="24"/>
        </w:rPr>
        <w:t xml:space="preserve"> screenplay, Ms. Lime’s production of “The Love Below” in cooperation with TinyTV was not in</w:t>
      </w:r>
      <w:r w:rsidRPr="00454733">
        <w:rPr>
          <w:szCs w:val="24"/>
        </w:rPr>
        <w:t xml:space="preserve"> violation of 17 U.S.C. § 101</w:t>
      </w:r>
      <w:r w:rsidR="00D6592A">
        <w:rPr>
          <w:szCs w:val="24"/>
        </w:rPr>
        <w:t xml:space="preserve">.  On these grounds, </w:t>
      </w:r>
      <w:r w:rsidRPr="00454733">
        <w:rPr>
          <w:szCs w:val="24"/>
        </w:rPr>
        <w:t xml:space="preserve">the </w:t>
      </w:r>
      <w:r w:rsidR="00532868">
        <w:rPr>
          <w:szCs w:val="24"/>
        </w:rPr>
        <w:t>d</w:t>
      </w:r>
      <w:r w:rsidRPr="00454733">
        <w:rPr>
          <w:szCs w:val="24"/>
        </w:rPr>
        <w:t>efendants request</w:t>
      </w:r>
      <w:r w:rsidR="00D6592A">
        <w:rPr>
          <w:szCs w:val="24"/>
        </w:rPr>
        <w:t xml:space="preserve"> that the court</w:t>
      </w:r>
      <w:r w:rsidRPr="00454733">
        <w:rPr>
          <w:szCs w:val="24"/>
        </w:rPr>
        <w:t xml:space="preserve"> </w:t>
      </w:r>
      <w:r w:rsidR="00D6592A">
        <w:rPr>
          <w:szCs w:val="24"/>
        </w:rPr>
        <w:t xml:space="preserve">grant </w:t>
      </w:r>
      <w:proofErr w:type="gramStart"/>
      <w:r w:rsidR="00D6592A">
        <w:rPr>
          <w:szCs w:val="24"/>
        </w:rPr>
        <w:t>their</w:t>
      </w:r>
      <w:proofErr w:type="gramEnd"/>
      <w:r w:rsidR="00D6592A">
        <w:rPr>
          <w:szCs w:val="24"/>
        </w:rPr>
        <w:t xml:space="preserve"> motion for judgment on the pleadings and dismiss OGS’s claim.  </w:t>
      </w:r>
    </w:p>
    <w:p w14:paraId="4DF08C7E" w14:textId="77777777" w:rsidR="004A3C75" w:rsidRPr="00454733" w:rsidRDefault="004A3C75" w:rsidP="00BC2F04">
      <w:pPr>
        <w:pStyle w:val="Heading2"/>
        <w:contextualSpacing/>
        <w:jc w:val="left"/>
        <w:rPr>
          <w:b w:val="0"/>
          <w:szCs w:val="24"/>
        </w:rPr>
      </w:pPr>
    </w:p>
    <w:p w14:paraId="204A9AE9" w14:textId="77777777" w:rsidR="0064393E" w:rsidRPr="00454733" w:rsidRDefault="0064393E" w:rsidP="00BC2F04">
      <w:pPr>
        <w:pStyle w:val="Heading2"/>
        <w:contextualSpacing/>
        <w:rPr>
          <w:szCs w:val="24"/>
          <w:u w:val="single"/>
        </w:rPr>
      </w:pPr>
      <w:r w:rsidRPr="00454733">
        <w:rPr>
          <w:szCs w:val="24"/>
          <w:u w:val="single"/>
        </w:rPr>
        <w:t>FACTUAL BACKGROUND</w:t>
      </w:r>
    </w:p>
    <w:p w14:paraId="6925AE04" w14:textId="77777777" w:rsidR="0064393E" w:rsidRPr="00454733" w:rsidRDefault="0064393E" w:rsidP="00BC2F04">
      <w:pPr>
        <w:contextualSpacing/>
        <w:rPr>
          <w:szCs w:val="24"/>
        </w:rPr>
      </w:pPr>
    </w:p>
    <w:p w14:paraId="6591B355" w14:textId="77777777" w:rsidR="0064393E" w:rsidRPr="00454733" w:rsidRDefault="0064393E" w:rsidP="00BC2F04">
      <w:pPr>
        <w:contextualSpacing/>
        <w:rPr>
          <w:szCs w:val="24"/>
        </w:rPr>
      </w:pPr>
    </w:p>
    <w:p w14:paraId="2199A297" w14:textId="77777777" w:rsidR="0064393E" w:rsidRDefault="0064393E" w:rsidP="00BC2F04">
      <w:pPr>
        <w:spacing w:line="480" w:lineRule="auto"/>
        <w:contextualSpacing/>
        <w:rPr>
          <w:szCs w:val="24"/>
        </w:rPr>
      </w:pPr>
      <w:r w:rsidRPr="00454733">
        <w:rPr>
          <w:szCs w:val="24"/>
        </w:rPr>
        <w:tab/>
      </w:r>
      <w:r w:rsidR="00D6592A">
        <w:rPr>
          <w:szCs w:val="24"/>
        </w:rPr>
        <w:t xml:space="preserve">At OGS’s request, </w:t>
      </w:r>
      <w:r w:rsidRPr="00454733">
        <w:rPr>
          <w:szCs w:val="24"/>
        </w:rPr>
        <w:t xml:space="preserve">Ms. Lime </w:t>
      </w:r>
      <w:r w:rsidR="00CD0113" w:rsidRPr="00454733">
        <w:rPr>
          <w:szCs w:val="24"/>
        </w:rPr>
        <w:t xml:space="preserve">agreed to write a screenplay for an episode </w:t>
      </w:r>
      <w:r w:rsidR="00454733" w:rsidRPr="00454733">
        <w:rPr>
          <w:szCs w:val="24"/>
        </w:rPr>
        <w:t xml:space="preserve">of </w:t>
      </w:r>
      <w:r w:rsidR="00454733" w:rsidRPr="001A6A9F">
        <w:rPr>
          <w:i/>
          <w:szCs w:val="24"/>
        </w:rPr>
        <w:t>Lawless</w:t>
      </w:r>
      <w:r w:rsidRPr="00454733">
        <w:rPr>
          <w:i/>
          <w:szCs w:val="24"/>
        </w:rPr>
        <w:t xml:space="preserve"> Love</w:t>
      </w:r>
      <w:r w:rsidR="00CD0113" w:rsidRPr="00454733">
        <w:rPr>
          <w:i/>
          <w:szCs w:val="24"/>
        </w:rPr>
        <w:t>,</w:t>
      </w:r>
      <w:r w:rsidR="001A6A9F">
        <w:rPr>
          <w:szCs w:val="24"/>
        </w:rPr>
        <w:t xml:space="preserve"> a television series</w:t>
      </w:r>
      <w:r w:rsidR="00CD0113" w:rsidRPr="00454733">
        <w:rPr>
          <w:i/>
          <w:szCs w:val="24"/>
        </w:rPr>
        <w:t xml:space="preserve"> </w:t>
      </w:r>
      <w:r w:rsidR="00CD0113" w:rsidRPr="00454733">
        <w:rPr>
          <w:szCs w:val="24"/>
        </w:rPr>
        <w:t>produced by OGS</w:t>
      </w:r>
      <w:r w:rsidR="001A6A9F">
        <w:rPr>
          <w:szCs w:val="24"/>
        </w:rPr>
        <w:t>.</w:t>
      </w:r>
      <w:r w:rsidRPr="00454733">
        <w:rPr>
          <w:szCs w:val="24"/>
        </w:rPr>
        <w:t xml:space="preserve"> (Compl. ¶ 9</w:t>
      </w:r>
      <w:r w:rsidR="00044F36">
        <w:rPr>
          <w:szCs w:val="24"/>
        </w:rPr>
        <w:t>.)</w:t>
      </w:r>
      <w:r w:rsidRPr="00454733">
        <w:rPr>
          <w:szCs w:val="24"/>
        </w:rPr>
        <w:t xml:space="preserve"> Dave Nelson (</w:t>
      </w:r>
      <w:r w:rsidR="001A6A9F">
        <w:rPr>
          <w:szCs w:val="24"/>
        </w:rPr>
        <w:t>“</w:t>
      </w:r>
      <w:r w:rsidRPr="00454733">
        <w:rPr>
          <w:szCs w:val="24"/>
        </w:rPr>
        <w:t>Mr. Nelson</w:t>
      </w:r>
      <w:r w:rsidR="001A6A9F">
        <w:rPr>
          <w:szCs w:val="24"/>
        </w:rPr>
        <w:t>”</w:t>
      </w:r>
      <w:r w:rsidRPr="00454733">
        <w:rPr>
          <w:szCs w:val="24"/>
        </w:rPr>
        <w:t xml:space="preserve">), executive </w:t>
      </w:r>
      <w:r w:rsidRPr="00454733">
        <w:rPr>
          <w:szCs w:val="24"/>
        </w:rPr>
        <w:lastRenderedPageBreak/>
        <w:t xml:space="preserve">producer of </w:t>
      </w:r>
      <w:r w:rsidRPr="00454733">
        <w:rPr>
          <w:i/>
          <w:szCs w:val="24"/>
        </w:rPr>
        <w:t>Lawless Love</w:t>
      </w:r>
      <w:r w:rsidRPr="00454733">
        <w:rPr>
          <w:szCs w:val="24"/>
        </w:rPr>
        <w:t xml:space="preserve">, negotiated the terms of the agreement with </w:t>
      </w:r>
      <w:r w:rsidR="001A6A9F">
        <w:rPr>
          <w:szCs w:val="24"/>
        </w:rPr>
        <w:t xml:space="preserve">Ms. </w:t>
      </w:r>
      <w:r w:rsidRPr="00454733">
        <w:rPr>
          <w:szCs w:val="24"/>
        </w:rPr>
        <w:t>Lime on behalf of OGS. (</w:t>
      </w:r>
      <w:r w:rsidRPr="00454733">
        <w:rPr>
          <w:i/>
          <w:szCs w:val="24"/>
        </w:rPr>
        <w:t>Id</w:t>
      </w:r>
      <w:r w:rsidR="00044F36">
        <w:rPr>
          <w:szCs w:val="24"/>
        </w:rPr>
        <w:t>. ¶</w:t>
      </w:r>
      <w:r w:rsidR="00D6592A">
        <w:rPr>
          <w:szCs w:val="24"/>
        </w:rPr>
        <w:t xml:space="preserve"> ¶ 10,12—</w:t>
      </w:r>
      <w:r w:rsidR="00044F36">
        <w:rPr>
          <w:szCs w:val="24"/>
        </w:rPr>
        <w:t>18.)</w:t>
      </w:r>
      <w:r w:rsidRPr="00454733">
        <w:rPr>
          <w:szCs w:val="24"/>
        </w:rPr>
        <w:t xml:space="preserve">  Although Mr. Nelson and Ms. Lime orally agreed on March 27</w:t>
      </w:r>
      <w:r w:rsidR="00CD0113" w:rsidRPr="00454733">
        <w:rPr>
          <w:szCs w:val="24"/>
        </w:rPr>
        <w:t>, 2010,</w:t>
      </w:r>
      <w:r w:rsidRPr="00454733">
        <w:rPr>
          <w:szCs w:val="24"/>
        </w:rPr>
        <w:t xml:space="preserve"> that the screenpla</w:t>
      </w:r>
      <w:r w:rsidR="00CD0113" w:rsidRPr="00454733">
        <w:rPr>
          <w:szCs w:val="24"/>
        </w:rPr>
        <w:t>y would be a work made for hire,</w:t>
      </w:r>
      <w:r w:rsidRPr="00454733">
        <w:rPr>
          <w:szCs w:val="24"/>
        </w:rPr>
        <w:t xml:space="preserve"> no written instrument was signed at this time</w:t>
      </w:r>
      <w:r w:rsidR="00CD0113" w:rsidRPr="00454733">
        <w:rPr>
          <w:szCs w:val="24"/>
        </w:rPr>
        <w:t>.</w:t>
      </w:r>
      <w:r w:rsidRPr="00454733">
        <w:rPr>
          <w:szCs w:val="24"/>
        </w:rPr>
        <w:t xml:space="preserve"> (</w:t>
      </w:r>
      <w:r w:rsidRPr="00454733">
        <w:rPr>
          <w:i/>
          <w:szCs w:val="24"/>
        </w:rPr>
        <w:t>Id</w:t>
      </w:r>
      <w:r w:rsidRPr="00454733">
        <w:rPr>
          <w:szCs w:val="24"/>
        </w:rPr>
        <w:t>. ¶</w:t>
      </w:r>
      <w:r w:rsidR="00D6592A">
        <w:rPr>
          <w:szCs w:val="24"/>
        </w:rPr>
        <w:t xml:space="preserve"> ¶</w:t>
      </w:r>
      <w:r w:rsidRPr="00454733">
        <w:rPr>
          <w:szCs w:val="24"/>
        </w:rPr>
        <w:t xml:space="preserve"> </w:t>
      </w:r>
      <w:r w:rsidR="00044F36">
        <w:rPr>
          <w:szCs w:val="24"/>
        </w:rPr>
        <w:t>16, 18; Answer ¶ 3.)</w:t>
      </w:r>
      <w:r w:rsidR="00FB53F6">
        <w:rPr>
          <w:szCs w:val="24"/>
        </w:rPr>
        <w:t xml:space="preserve">  </w:t>
      </w:r>
      <w:r w:rsidR="00E328E0">
        <w:rPr>
          <w:szCs w:val="24"/>
        </w:rPr>
        <w:t xml:space="preserve">Ms. Lime </w:t>
      </w:r>
      <w:r w:rsidR="00E328E0" w:rsidRPr="00E328E0">
        <w:rPr>
          <w:szCs w:val="24"/>
        </w:rPr>
        <w:t>submitted the screenplay to OGS on April 1, 2010.  (Compl, ¶ 21.)</w:t>
      </w:r>
    </w:p>
    <w:p w14:paraId="1DFF451D" w14:textId="77777777" w:rsidR="001A6A9F" w:rsidRPr="00454733" w:rsidRDefault="001A6A9F" w:rsidP="00BC2F04">
      <w:pPr>
        <w:spacing w:line="480" w:lineRule="auto"/>
        <w:ind w:firstLine="720"/>
        <w:contextualSpacing/>
        <w:rPr>
          <w:szCs w:val="24"/>
        </w:rPr>
      </w:pPr>
      <w:r w:rsidRPr="00AD65C1">
        <w:rPr>
          <w:szCs w:val="24"/>
        </w:rPr>
        <w:t>Prior to the signing of any work made for hire agreement, OGS attempted to secure exclusive rights and privileges to the screenplay, “Anticipatory Repudiation,” and received a certificate of registration from the Register of Copyrights on April 2, 2010.</w:t>
      </w:r>
      <w:r w:rsidRPr="00454733">
        <w:rPr>
          <w:szCs w:val="24"/>
        </w:rPr>
        <w:t xml:space="preserve"> </w:t>
      </w:r>
      <w:r w:rsidR="00AD65C1">
        <w:rPr>
          <w:szCs w:val="24"/>
        </w:rPr>
        <w:t xml:space="preserve">(Compl, ¶ </w:t>
      </w:r>
      <w:r w:rsidR="00044F36">
        <w:rPr>
          <w:szCs w:val="24"/>
        </w:rPr>
        <w:t>22.)</w:t>
      </w:r>
    </w:p>
    <w:p w14:paraId="650B1D3C" w14:textId="77777777" w:rsidR="00CD0113" w:rsidRPr="00454733" w:rsidRDefault="0064393E" w:rsidP="00BC2F04">
      <w:pPr>
        <w:spacing w:line="480" w:lineRule="auto"/>
        <w:ind w:firstLine="720"/>
        <w:contextualSpacing/>
        <w:rPr>
          <w:szCs w:val="24"/>
        </w:rPr>
      </w:pPr>
      <w:r w:rsidRPr="00454733">
        <w:rPr>
          <w:szCs w:val="24"/>
        </w:rPr>
        <w:t>It was not until April</w:t>
      </w:r>
      <w:r w:rsidR="00524DC8">
        <w:rPr>
          <w:szCs w:val="24"/>
        </w:rPr>
        <w:t xml:space="preserve"> 6, 2010 that OGS attempted to create</w:t>
      </w:r>
      <w:r w:rsidR="005E7B96">
        <w:rPr>
          <w:szCs w:val="24"/>
        </w:rPr>
        <w:t xml:space="preserve"> </w:t>
      </w:r>
      <w:r w:rsidRPr="00454733">
        <w:rPr>
          <w:szCs w:val="24"/>
        </w:rPr>
        <w:t xml:space="preserve">a work-for-hire-agreement </w:t>
      </w:r>
      <w:r w:rsidR="005E7B96">
        <w:rPr>
          <w:szCs w:val="24"/>
        </w:rPr>
        <w:t>by a writing signed by both parties</w:t>
      </w:r>
      <w:r w:rsidR="00044F36">
        <w:rPr>
          <w:szCs w:val="24"/>
        </w:rPr>
        <w:t xml:space="preserve">. (Compl. ¶ </w:t>
      </w:r>
      <w:r w:rsidR="00D6592A">
        <w:rPr>
          <w:szCs w:val="24"/>
        </w:rPr>
        <w:t xml:space="preserve">¶ </w:t>
      </w:r>
      <w:r w:rsidR="00044F36">
        <w:rPr>
          <w:szCs w:val="24"/>
        </w:rPr>
        <w:t xml:space="preserve">24, 25.) </w:t>
      </w:r>
      <w:r w:rsidRPr="00454733">
        <w:rPr>
          <w:szCs w:val="24"/>
        </w:rPr>
        <w:t xml:space="preserve"> </w:t>
      </w:r>
      <w:r w:rsidR="00AD65C1">
        <w:rPr>
          <w:szCs w:val="24"/>
        </w:rPr>
        <w:t xml:space="preserve">In exchange for $6,000, Ms. Lime signed the </w:t>
      </w:r>
      <w:proofErr w:type="gramStart"/>
      <w:r w:rsidR="00AD65C1">
        <w:rPr>
          <w:szCs w:val="24"/>
        </w:rPr>
        <w:t>agreement which</w:t>
      </w:r>
      <w:proofErr w:type="gramEnd"/>
      <w:r w:rsidR="00AD65C1">
        <w:rPr>
          <w:szCs w:val="24"/>
        </w:rPr>
        <w:t xml:space="preserve"> stated the screenplay she had prepared was a work made for hire and OGS was the author of the screenplay. (Compl. </w:t>
      </w:r>
      <w:r w:rsidR="00AD65C1" w:rsidRPr="00454733">
        <w:rPr>
          <w:szCs w:val="24"/>
        </w:rPr>
        <w:t xml:space="preserve">¶ </w:t>
      </w:r>
      <w:r w:rsidR="00AD65C1">
        <w:rPr>
          <w:szCs w:val="24"/>
        </w:rPr>
        <w:t>24</w:t>
      </w:r>
      <w:r w:rsidR="00044F36">
        <w:rPr>
          <w:szCs w:val="24"/>
        </w:rPr>
        <w:t>.)</w:t>
      </w:r>
      <w:r w:rsidR="00AD65C1">
        <w:rPr>
          <w:szCs w:val="24"/>
        </w:rPr>
        <w:t xml:space="preserve"> </w:t>
      </w:r>
      <w:r w:rsidR="00AD65C1" w:rsidRPr="00454733">
        <w:rPr>
          <w:szCs w:val="24"/>
        </w:rPr>
        <w:t xml:space="preserve"> </w:t>
      </w:r>
      <w:r w:rsidR="00AD65C1">
        <w:rPr>
          <w:szCs w:val="24"/>
        </w:rPr>
        <w:t xml:space="preserve"> </w:t>
      </w:r>
      <w:r w:rsidRPr="00454733">
        <w:rPr>
          <w:szCs w:val="24"/>
        </w:rPr>
        <w:t xml:space="preserve">By </w:t>
      </w:r>
      <w:r w:rsidR="00AD65C1">
        <w:rPr>
          <w:szCs w:val="24"/>
        </w:rPr>
        <w:t>the time the parties signed the agreement</w:t>
      </w:r>
      <w:r w:rsidRPr="00454733">
        <w:rPr>
          <w:szCs w:val="24"/>
        </w:rPr>
        <w:t xml:space="preserve">, </w:t>
      </w:r>
      <w:r w:rsidR="00AD65C1">
        <w:rPr>
          <w:szCs w:val="24"/>
        </w:rPr>
        <w:t>the screenplay had already been written by Ms. Lime and submitted to OGS</w:t>
      </w:r>
      <w:r w:rsidR="00044F36">
        <w:rPr>
          <w:szCs w:val="24"/>
        </w:rPr>
        <w:t>. (Id. ¶</w:t>
      </w:r>
      <w:r w:rsidR="00D6592A">
        <w:rPr>
          <w:szCs w:val="24"/>
        </w:rPr>
        <w:t xml:space="preserve"> ¶</w:t>
      </w:r>
      <w:r w:rsidR="00044F36">
        <w:rPr>
          <w:szCs w:val="24"/>
        </w:rPr>
        <w:t xml:space="preserve"> 20, 21.)</w:t>
      </w:r>
    </w:p>
    <w:p w14:paraId="766D6D5F" w14:textId="77777777" w:rsidR="0064393E" w:rsidRPr="00454733" w:rsidRDefault="0064393E" w:rsidP="00BC2F04">
      <w:pPr>
        <w:spacing w:line="480" w:lineRule="auto"/>
        <w:contextualSpacing/>
        <w:rPr>
          <w:szCs w:val="24"/>
        </w:rPr>
      </w:pPr>
      <w:r w:rsidRPr="00454733">
        <w:rPr>
          <w:szCs w:val="24"/>
        </w:rPr>
        <w:tab/>
      </w:r>
      <w:r w:rsidR="00D6592A">
        <w:rPr>
          <w:szCs w:val="24"/>
        </w:rPr>
        <w:t>OGS later</w:t>
      </w:r>
      <w:r w:rsidRPr="00454733">
        <w:rPr>
          <w:szCs w:val="24"/>
        </w:rPr>
        <w:t xml:space="preserve"> opted not to produce Ms. Lime’s screenplay as an episode of </w:t>
      </w:r>
      <w:r w:rsidR="00044F36">
        <w:rPr>
          <w:i/>
          <w:szCs w:val="24"/>
        </w:rPr>
        <w:t>Lawless Love</w:t>
      </w:r>
      <w:r w:rsidRPr="00454733">
        <w:rPr>
          <w:szCs w:val="24"/>
        </w:rPr>
        <w:t>, Ms. Lime</w:t>
      </w:r>
      <w:r w:rsidR="00514E71">
        <w:rPr>
          <w:szCs w:val="24"/>
        </w:rPr>
        <w:t xml:space="preserve"> subsequently</w:t>
      </w:r>
      <w:r w:rsidR="00CD0113" w:rsidRPr="00454733">
        <w:rPr>
          <w:szCs w:val="24"/>
        </w:rPr>
        <w:t xml:space="preserve"> </w:t>
      </w:r>
      <w:r w:rsidR="005354C0">
        <w:rPr>
          <w:szCs w:val="24"/>
        </w:rPr>
        <w:t>modified</w:t>
      </w:r>
      <w:r w:rsidRPr="00454733">
        <w:rPr>
          <w:szCs w:val="24"/>
        </w:rPr>
        <w:t xml:space="preserve"> the screenplay for production by TinyTV as the pilot episode of a new television comedy </w:t>
      </w:r>
      <w:r w:rsidRPr="00454733">
        <w:rPr>
          <w:i/>
          <w:szCs w:val="24"/>
        </w:rPr>
        <w:t xml:space="preserve">The Tin Can. </w:t>
      </w:r>
      <w:r w:rsidRPr="00454733">
        <w:rPr>
          <w:szCs w:val="24"/>
        </w:rPr>
        <w:t>(</w:t>
      </w:r>
      <w:r w:rsidR="00044F36" w:rsidRPr="00454733">
        <w:rPr>
          <w:szCs w:val="24"/>
        </w:rPr>
        <w:t>Compl</w:t>
      </w:r>
      <w:proofErr w:type="gramStart"/>
      <w:r w:rsidR="00044F36" w:rsidRPr="00454733">
        <w:rPr>
          <w:szCs w:val="24"/>
        </w:rPr>
        <w:t>.¶</w:t>
      </w:r>
      <w:proofErr w:type="gramEnd"/>
      <w:r w:rsidR="00514E71">
        <w:rPr>
          <w:szCs w:val="24"/>
        </w:rPr>
        <w:t xml:space="preserve"> ¶</w:t>
      </w:r>
      <w:r w:rsidR="00044F36" w:rsidRPr="00454733">
        <w:rPr>
          <w:szCs w:val="24"/>
        </w:rPr>
        <w:t xml:space="preserve"> 26</w:t>
      </w:r>
      <w:r w:rsidR="00044F36">
        <w:rPr>
          <w:i/>
          <w:szCs w:val="24"/>
        </w:rPr>
        <w:t>,</w:t>
      </w:r>
      <w:r w:rsidR="00044F36">
        <w:rPr>
          <w:szCs w:val="24"/>
        </w:rPr>
        <w:t xml:space="preserve"> 27, 28.)</w:t>
      </w:r>
      <w:r w:rsidRPr="00454733">
        <w:rPr>
          <w:szCs w:val="24"/>
        </w:rPr>
        <w:t xml:space="preserve">  </w:t>
      </w:r>
      <w:proofErr w:type="gramStart"/>
      <w:r w:rsidRPr="00454733">
        <w:rPr>
          <w:szCs w:val="24"/>
        </w:rPr>
        <w:t>The episode was aired by TinyTV</w:t>
      </w:r>
      <w:proofErr w:type="gramEnd"/>
      <w:r w:rsidRPr="00454733">
        <w:rPr>
          <w:szCs w:val="24"/>
        </w:rPr>
        <w:t xml:space="preserve"> on September 27, 2010. (</w:t>
      </w:r>
      <w:r w:rsidRPr="00454733">
        <w:rPr>
          <w:i/>
          <w:szCs w:val="24"/>
        </w:rPr>
        <w:t>Id</w:t>
      </w:r>
      <w:r w:rsidR="00044F36">
        <w:rPr>
          <w:szCs w:val="24"/>
        </w:rPr>
        <w:t>. ¶ 29.)</w:t>
      </w:r>
    </w:p>
    <w:p w14:paraId="5F09C8E6" w14:textId="77777777" w:rsidR="00454733" w:rsidRPr="00454733" w:rsidRDefault="0064393E" w:rsidP="00BC2F04">
      <w:pPr>
        <w:spacing w:line="480" w:lineRule="auto"/>
        <w:contextualSpacing/>
      </w:pPr>
      <w:r w:rsidRPr="00454733">
        <w:rPr>
          <w:szCs w:val="24"/>
        </w:rPr>
        <w:tab/>
        <w:t>OGS filed suit against Ms. Lime and TinyTV on January 17, 2010, alleging infringement of copyright. (</w:t>
      </w:r>
      <w:r w:rsidR="00454733" w:rsidRPr="00454733">
        <w:rPr>
          <w:i/>
          <w:szCs w:val="24"/>
        </w:rPr>
        <w:t>See</w:t>
      </w:r>
      <w:r w:rsidRPr="00454733">
        <w:rPr>
          <w:i/>
          <w:szCs w:val="24"/>
        </w:rPr>
        <w:t xml:space="preserve"> generally </w:t>
      </w:r>
      <w:r w:rsidR="00044F36">
        <w:rPr>
          <w:szCs w:val="24"/>
        </w:rPr>
        <w:t>Compl.)</w:t>
      </w:r>
      <w:r w:rsidRPr="00454733">
        <w:rPr>
          <w:szCs w:val="24"/>
        </w:rPr>
        <w:t xml:space="preserve">  Ms. Lime and TinyTV </w:t>
      </w:r>
      <w:r w:rsidR="005E7B96">
        <w:rPr>
          <w:szCs w:val="24"/>
        </w:rPr>
        <w:t>now move</w:t>
      </w:r>
      <w:r w:rsidRPr="00454733">
        <w:rPr>
          <w:szCs w:val="24"/>
        </w:rPr>
        <w:t xml:space="preserve"> </w:t>
      </w:r>
      <w:r w:rsidR="005E7B96">
        <w:rPr>
          <w:szCs w:val="24"/>
        </w:rPr>
        <w:t>for judgment on the pleadings</w:t>
      </w:r>
      <w:r w:rsidR="00044F36">
        <w:rPr>
          <w:szCs w:val="24"/>
        </w:rPr>
        <w:t>. (Answer ¶ 4.)</w:t>
      </w:r>
      <w:r w:rsidR="00514E71" w:rsidRPr="00454733">
        <w:t xml:space="preserve"> </w:t>
      </w:r>
    </w:p>
    <w:p w14:paraId="156D1545" w14:textId="77777777" w:rsidR="004A3C75" w:rsidRPr="00044F36" w:rsidRDefault="006D6FB3" w:rsidP="00BC2F04">
      <w:pPr>
        <w:pStyle w:val="Heading2"/>
        <w:spacing w:line="480" w:lineRule="auto"/>
        <w:contextualSpacing/>
        <w:rPr>
          <w:szCs w:val="24"/>
          <w:u w:val="single"/>
        </w:rPr>
      </w:pPr>
      <w:r w:rsidRPr="00454733">
        <w:rPr>
          <w:szCs w:val="24"/>
          <w:u w:val="single"/>
        </w:rPr>
        <w:t>ARGUMENT</w:t>
      </w:r>
    </w:p>
    <w:p w14:paraId="14D5B942" w14:textId="77777777" w:rsidR="007D11CF" w:rsidRPr="00454733" w:rsidRDefault="006A1527" w:rsidP="00BC2F04">
      <w:pPr>
        <w:widowControl/>
        <w:autoSpaceDE w:val="0"/>
        <w:autoSpaceDN w:val="0"/>
        <w:adjustRightInd w:val="0"/>
        <w:spacing w:line="480" w:lineRule="auto"/>
        <w:ind w:firstLine="720"/>
        <w:contextualSpacing/>
        <w:rPr>
          <w:szCs w:val="24"/>
        </w:rPr>
      </w:pPr>
      <w:r w:rsidRPr="00AD65C1">
        <w:rPr>
          <w:szCs w:val="24"/>
        </w:rPr>
        <w:t xml:space="preserve">When </w:t>
      </w:r>
      <w:r w:rsidR="00AD65C1" w:rsidRPr="00AD65C1">
        <w:rPr>
          <w:szCs w:val="24"/>
        </w:rPr>
        <w:t>c</w:t>
      </w:r>
      <w:r w:rsidRPr="00AD65C1">
        <w:rPr>
          <w:szCs w:val="24"/>
        </w:rPr>
        <w:t xml:space="preserve">onsidering </w:t>
      </w:r>
      <w:r w:rsidR="00B56A06">
        <w:rPr>
          <w:szCs w:val="24"/>
        </w:rPr>
        <w:t xml:space="preserve">17 </w:t>
      </w:r>
      <w:r w:rsidRPr="00AD65C1">
        <w:rPr>
          <w:szCs w:val="24"/>
        </w:rPr>
        <w:t xml:space="preserve">U.S.C. § 101 in </w:t>
      </w:r>
      <w:r w:rsidR="00AD65C1" w:rsidRPr="00AD65C1">
        <w:rPr>
          <w:szCs w:val="24"/>
        </w:rPr>
        <w:t>l</w:t>
      </w:r>
      <w:r w:rsidRPr="00AD65C1">
        <w:rPr>
          <w:szCs w:val="24"/>
        </w:rPr>
        <w:t xml:space="preserve">ight of the </w:t>
      </w:r>
      <w:r w:rsidR="00AD65C1" w:rsidRPr="00AD65C1">
        <w:rPr>
          <w:szCs w:val="24"/>
        </w:rPr>
        <w:t>p</w:t>
      </w:r>
      <w:r w:rsidRPr="00AD65C1">
        <w:rPr>
          <w:szCs w:val="24"/>
        </w:rPr>
        <w:t xml:space="preserve">lain </w:t>
      </w:r>
      <w:r w:rsidR="00AD65C1" w:rsidRPr="00AD65C1">
        <w:rPr>
          <w:szCs w:val="24"/>
        </w:rPr>
        <w:t>s</w:t>
      </w:r>
      <w:r w:rsidRPr="00AD65C1">
        <w:rPr>
          <w:szCs w:val="24"/>
        </w:rPr>
        <w:t xml:space="preserve">tatutory </w:t>
      </w:r>
      <w:r w:rsidR="00AD65C1" w:rsidRPr="00AD65C1">
        <w:rPr>
          <w:szCs w:val="24"/>
        </w:rPr>
        <w:t>l</w:t>
      </w:r>
      <w:r w:rsidRPr="00AD65C1">
        <w:rPr>
          <w:szCs w:val="24"/>
        </w:rPr>
        <w:t xml:space="preserve">anguage, </w:t>
      </w:r>
      <w:r w:rsidR="00AD65C1" w:rsidRPr="00AD65C1">
        <w:rPr>
          <w:szCs w:val="24"/>
        </w:rPr>
        <w:t>l</w:t>
      </w:r>
      <w:r w:rsidR="00DA12AB" w:rsidRPr="00AD65C1">
        <w:rPr>
          <w:szCs w:val="24"/>
        </w:rPr>
        <w:t xml:space="preserve">egislative </w:t>
      </w:r>
      <w:r w:rsidR="00AD65C1" w:rsidRPr="00AD65C1">
        <w:rPr>
          <w:szCs w:val="24"/>
        </w:rPr>
        <w:t>h</w:t>
      </w:r>
      <w:r w:rsidRPr="00AD65C1">
        <w:rPr>
          <w:szCs w:val="24"/>
        </w:rPr>
        <w:t xml:space="preserve">istory and </w:t>
      </w:r>
      <w:r w:rsidR="00AD65C1" w:rsidRPr="00AD65C1">
        <w:rPr>
          <w:szCs w:val="24"/>
        </w:rPr>
        <w:t>p</w:t>
      </w:r>
      <w:r w:rsidR="00DA12AB" w:rsidRPr="00AD65C1">
        <w:rPr>
          <w:szCs w:val="24"/>
        </w:rPr>
        <w:t xml:space="preserve">rior </w:t>
      </w:r>
      <w:r w:rsidR="00AD65C1" w:rsidRPr="00AD65C1">
        <w:rPr>
          <w:szCs w:val="24"/>
        </w:rPr>
        <w:t>c</w:t>
      </w:r>
      <w:r w:rsidR="00DA12AB" w:rsidRPr="00AD65C1">
        <w:rPr>
          <w:szCs w:val="24"/>
        </w:rPr>
        <w:t>ase</w:t>
      </w:r>
      <w:r w:rsidRPr="00AD65C1">
        <w:rPr>
          <w:szCs w:val="24"/>
        </w:rPr>
        <w:t xml:space="preserve"> </w:t>
      </w:r>
      <w:r w:rsidR="00AD65C1" w:rsidRPr="00AD65C1">
        <w:rPr>
          <w:szCs w:val="24"/>
        </w:rPr>
        <w:t>l</w:t>
      </w:r>
      <w:r w:rsidRPr="00AD65C1">
        <w:rPr>
          <w:szCs w:val="24"/>
        </w:rPr>
        <w:t xml:space="preserve">aw, </w:t>
      </w:r>
      <w:r w:rsidR="00514E71">
        <w:rPr>
          <w:szCs w:val="24"/>
        </w:rPr>
        <w:t>the Court should grant Ms. Lime and TinyTV’s claim because a</w:t>
      </w:r>
      <w:r w:rsidR="00633D7B">
        <w:rPr>
          <w:szCs w:val="24"/>
        </w:rPr>
        <w:t xml:space="preserve"> work </w:t>
      </w:r>
      <w:r w:rsidR="00633D7B">
        <w:rPr>
          <w:szCs w:val="24"/>
        </w:rPr>
        <w:lastRenderedPageBreak/>
        <w:t>made for hire agreement cannot be signed after the creation of a work.  A</w:t>
      </w:r>
      <w:r w:rsidR="00DA12AB" w:rsidRPr="00454733">
        <w:rPr>
          <w:szCs w:val="24"/>
        </w:rPr>
        <w:t xml:space="preserve">ccording to the </w:t>
      </w:r>
      <w:r w:rsidR="00633D7B">
        <w:rPr>
          <w:szCs w:val="24"/>
        </w:rPr>
        <w:t xml:space="preserve">United States </w:t>
      </w:r>
      <w:r w:rsidR="00DA12AB" w:rsidRPr="00454733">
        <w:rPr>
          <w:szCs w:val="24"/>
        </w:rPr>
        <w:t>Supreme Court,</w:t>
      </w:r>
      <w:r w:rsidR="00044F36">
        <w:rPr>
          <w:szCs w:val="24"/>
        </w:rPr>
        <w:t xml:space="preserve"> “[</w:t>
      </w:r>
      <w:proofErr w:type="gramStart"/>
      <w:r w:rsidR="00044F36">
        <w:rPr>
          <w:szCs w:val="24"/>
        </w:rPr>
        <w:t>i]</w:t>
      </w:r>
      <w:r w:rsidR="007D11CF" w:rsidRPr="00454733">
        <w:rPr>
          <w:szCs w:val="24"/>
        </w:rPr>
        <w:t>n</w:t>
      </w:r>
      <w:proofErr w:type="gramEnd"/>
      <w:r w:rsidR="007D11CF" w:rsidRPr="00454733">
        <w:rPr>
          <w:szCs w:val="24"/>
        </w:rPr>
        <w:t xml:space="preserve"> expounding a statute, we must not be guided by a single sentence or member of a sentence, but look to the provisions of the whole law, and to its object and policy.”  </w:t>
      </w:r>
      <w:proofErr w:type="gramStart"/>
      <w:r w:rsidR="007D11CF" w:rsidRPr="00454733">
        <w:rPr>
          <w:i/>
          <w:snapToGrid/>
          <w:szCs w:val="24"/>
        </w:rPr>
        <w:t>United States v. Boisdore's Heirs</w:t>
      </w:r>
      <w:r w:rsidR="007D11CF" w:rsidRPr="00454733">
        <w:rPr>
          <w:snapToGrid/>
          <w:szCs w:val="24"/>
        </w:rPr>
        <w:t>, 49 U.S. 113, 122</w:t>
      </w:r>
      <w:r w:rsidR="00D77ACD" w:rsidRPr="00454733">
        <w:rPr>
          <w:snapToGrid/>
          <w:szCs w:val="24"/>
        </w:rPr>
        <w:t xml:space="preserve"> (1850</w:t>
      </w:r>
      <w:r w:rsidR="007D11CF" w:rsidRPr="00454733">
        <w:rPr>
          <w:szCs w:val="24"/>
        </w:rPr>
        <w:t>).</w:t>
      </w:r>
      <w:proofErr w:type="gramEnd"/>
      <w:r w:rsidR="007D11CF" w:rsidRPr="00454733">
        <w:rPr>
          <w:szCs w:val="24"/>
        </w:rPr>
        <w:t xml:space="preserve">  </w:t>
      </w:r>
      <w:r w:rsidR="00DA12AB" w:rsidRPr="00454733">
        <w:rPr>
          <w:szCs w:val="24"/>
        </w:rPr>
        <w:t xml:space="preserve">When looking at 17 U.S.C. § 101 according to </w:t>
      </w:r>
      <w:r w:rsidR="00514E71">
        <w:rPr>
          <w:szCs w:val="24"/>
        </w:rPr>
        <w:t>these guidelines</w:t>
      </w:r>
      <w:r w:rsidR="00DA12AB" w:rsidRPr="00454733">
        <w:rPr>
          <w:szCs w:val="24"/>
        </w:rPr>
        <w:t xml:space="preserve">, Ms. Lime and TinyTV’s construction emerges as the only compatible interpretation.  </w:t>
      </w:r>
      <w:r w:rsidR="00633D7B">
        <w:rPr>
          <w:szCs w:val="24"/>
        </w:rPr>
        <w:t xml:space="preserve">In order for a work made for hire agreement to be meet the criteria set out in 17 U.S.C. § 101, a written instrument must be signed by both parties before creation of the work.  </w:t>
      </w:r>
      <w:r w:rsidR="00B56A06">
        <w:rPr>
          <w:szCs w:val="24"/>
        </w:rPr>
        <w:t xml:space="preserve">OGS’s interpretation of the definition of a work made for hire in </w:t>
      </w:r>
      <w:r w:rsidR="00B56A06" w:rsidRPr="00454733">
        <w:rPr>
          <w:szCs w:val="24"/>
        </w:rPr>
        <w:t>17 U.S.C. § 101</w:t>
      </w:r>
      <w:r w:rsidR="00B56A06">
        <w:rPr>
          <w:szCs w:val="24"/>
        </w:rPr>
        <w:t xml:space="preserve"> is inconsistent with</w:t>
      </w:r>
      <w:r w:rsidR="00DA12AB" w:rsidRPr="00454733">
        <w:rPr>
          <w:szCs w:val="24"/>
        </w:rPr>
        <w:t xml:space="preserve"> the plain language of the statute, legislative history and prior </w:t>
      </w:r>
      <w:r w:rsidR="00454733" w:rsidRPr="00454733">
        <w:rPr>
          <w:szCs w:val="24"/>
        </w:rPr>
        <w:t>case law</w:t>
      </w:r>
      <w:r w:rsidR="00B56A06">
        <w:rPr>
          <w:szCs w:val="24"/>
        </w:rPr>
        <w:t xml:space="preserve">.  Ms. Lime and TinyTV’s motion for judgment on the pleadings should be granted.  </w:t>
      </w:r>
    </w:p>
    <w:p w14:paraId="6630CD80" w14:textId="77777777" w:rsidR="000F1C4F" w:rsidRPr="000F1C4F" w:rsidRDefault="000F1C4F" w:rsidP="00BC2F04">
      <w:pPr>
        <w:pStyle w:val="ListParagraph"/>
        <w:widowControl/>
        <w:numPr>
          <w:ilvl w:val="0"/>
          <w:numId w:val="17"/>
        </w:numPr>
        <w:autoSpaceDE w:val="0"/>
        <w:autoSpaceDN w:val="0"/>
        <w:adjustRightInd w:val="0"/>
        <w:rPr>
          <w:szCs w:val="24"/>
        </w:rPr>
      </w:pPr>
      <w:r>
        <w:rPr>
          <w:b/>
          <w:szCs w:val="24"/>
        </w:rPr>
        <w:t xml:space="preserve">The plain language of 17 U.S.C. supports Ms. Lime and TinyTV’s </w:t>
      </w:r>
      <w:r w:rsidR="00514E71">
        <w:rPr>
          <w:b/>
          <w:szCs w:val="24"/>
        </w:rPr>
        <w:t>position</w:t>
      </w:r>
      <w:r>
        <w:rPr>
          <w:b/>
          <w:szCs w:val="24"/>
        </w:rPr>
        <w:t xml:space="preserve"> by specifying that work made for hire agreements are only valid when signed prior to the creation of a work.</w:t>
      </w:r>
    </w:p>
    <w:p w14:paraId="79488E00" w14:textId="77777777" w:rsidR="00633D7B" w:rsidRPr="00454733" w:rsidRDefault="00633D7B" w:rsidP="00BC2F04">
      <w:pPr>
        <w:pStyle w:val="ListParagraph"/>
        <w:widowControl/>
        <w:autoSpaceDE w:val="0"/>
        <w:autoSpaceDN w:val="0"/>
        <w:adjustRightInd w:val="0"/>
        <w:ind w:left="1440"/>
        <w:rPr>
          <w:szCs w:val="24"/>
        </w:rPr>
      </w:pPr>
    </w:p>
    <w:p w14:paraId="6F7C826B" w14:textId="77777777" w:rsidR="006A1527" w:rsidRPr="00454733" w:rsidRDefault="006A1527" w:rsidP="00BC2F04">
      <w:pPr>
        <w:widowControl/>
        <w:autoSpaceDE w:val="0"/>
        <w:autoSpaceDN w:val="0"/>
        <w:adjustRightInd w:val="0"/>
        <w:spacing w:line="480" w:lineRule="auto"/>
        <w:ind w:firstLine="720"/>
        <w:contextualSpacing/>
        <w:rPr>
          <w:szCs w:val="24"/>
        </w:rPr>
      </w:pPr>
      <w:r w:rsidRPr="00454733">
        <w:rPr>
          <w:szCs w:val="24"/>
        </w:rPr>
        <w:t xml:space="preserve">The </w:t>
      </w:r>
      <w:r w:rsidR="00BD30BB">
        <w:rPr>
          <w:szCs w:val="24"/>
        </w:rPr>
        <w:t xml:space="preserve">plain </w:t>
      </w:r>
      <w:r w:rsidRPr="00454733">
        <w:rPr>
          <w:szCs w:val="24"/>
        </w:rPr>
        <w:t xml:space="preserve">language of </w:t>
      </w:r>
      <w:r w:rsidR="00633D7B">
        <w:rPr>
          <w:szCs w:val="24"/>
        </w:rPr>
        <w:t>17 U.S.C.</w:t>
      </w:r>
      <w:r w:rsidR="00BD30BB">
        <w:rPr>
          <w:szCs w:val="24"/>
        </w:rPr>
        <w:t xml:space="preserve"> </w:t>
      </w:r>
      <w:r w:rsidR="00524DC8">
        <w:rPr>
          <w:szCs w:val="24"/>
        </w:rPr>
        <w:t>supports Ms. Lime and TinyTV’s</w:t>
      </w:r>
      <w:r w:rsidRPr="00454733">
        <w:rPr>
          <w:szCs w:val="24"/>
        </w:rPr>
        <w:t xml:space="preserve"> </w:t>
      </w:r>
      <w:r w:rsidR="00BD30BB">
        <w:rPr>
          <w:szCs w:val="24"/>
        </w:rPr>
        <w:t>interpretation of the definition of a work made for hire</w:t>
      </w:r>
      <w:r w:rsidR="002600ED" w:rsidRPr="00454733">
        <w:rPr>
          <w:szCs w:val="24"/>
        </w:rPr>
        <w:t xml:space="preserve">.  </w:t>
      </w:r>
      <w:r w:rsidR="00BD30BB">
        <w:rPr>
          <w:szCs w:val="24"/>
        </w:rPr>
        <w:t xml:space="preserve">OGS’s interpretation fails to consider the implications of the language of § 101 and also fails to construe § 101 in a way that is consistent with the other provisions of 17 U.S.C.  </w:t>
      </w:r>
      <w:proofErr w:type="gramStart"/>
      <w:r w:rsidR="002600ED" w:rsidRPr="00454733">
        <w:rPr>
          <w:szCs w:val="24"/>
        </w:rPr>
        <w:t>A</w:t>
      </w:r>
      <w:r w:rsidR="00BD30BB">
        <w:rPr>
          <w:szCs w:val="24"/>
        </w:rPr>
        <w:t xml:space="preserve"> close consideration</w:t>
      </w:r>
      <w:r w:rsidR="002600ED" w:rsidRPr="00454733">
        <w:rPr>
          <w:szCs w:val="24"/>
        </w:rPr>
        <w:t xml:space="preserve"> </w:t>
      </w:r>
      <w:r w:rsidR="00BD30BB">
        <w:rPr>
          <w:szCs w:val="24"/>
        </w:rPr>
        <w:t>of the language</w:t>
      </w:r>
      <w:r w:rsidR="002600ED" w:rsidRPr="00454733">
        <w:rPr>
          <w:szCs w:val="24"/>
        </w:rPr>
        <w:t xml:space="preserve"> of </w:t>
      </w:r>
      <w:r w:rsidR="000F1C4F">
        <w:rPr>
          <w:szCs w:val="24"/>
        </w:rPr>
        <w:t>§ 101</w:t>
      </w:r>
      <w:r w:rsidR="002600ED" w:rsidRPr="00454733">
        <w:rPr>
          <w:szCs w:val="24"/>
        </w:rPr>
        <w:t xml:space="preserve">, as well as the definition of work made for hire in </w:t>
      </w:r>
      <w:r w:rsidR="00514E71">
        <w:rPr>
          <w:szCs w:val="24"/>
        </w:rPr>
        <w:t xml:space="preserve">the </w:t>
      </w:r>
      <w:r w:rsidR="002600ED" w:rsidRPr="00454733">
        <w:rPr>
          <w:szCs w:val="24"/>
        </w:rPr>
        <w:t xml:space="preserve">context of </w:t>
      </w:r>
      <w:r w:rsidR="000F1C4F">
        <w:rPr>
          <w:szCs w:val="24"/>
        </w:rPr>
        <w:t>17 U.S.C.</w:t>
      </w:r>
      <w:r w:rsidR="002600ED" w:rsidRPr="00454733">
        <w:rPr>
          <w:szCs w:val="24"/>
        </w:rPr>
        <w:t xml:space="preserve"> </w:t>
      </w:r>
      <w:r w:rsidR="00514E71">
        <w:rPr>
          <w:szCs w:val="24"/>
        </w:rPr>
        <w:t>align</w:t>
      </w:r>
      <w:proofErr w:type="gramEnd"/>
      <w:r w:rsidR="00514E71">
        <w:rPr>
          <w:szCs w:val="24"/>
        </w:rPr>
        <w:t xml:space="preserve"> with</w:t>
      </w:r>
      <w:r w:rsidR="002600ED" w:rsidRPr="00454733">
        <w:rPr>
          <w:szCs w:val="24"/>
        </w:rPr>
        <w:t xml:space="preserve"> Ms. Lime and TinyTV’s </w:t>
      </w:r>
      <w:r w:rsidR="000F1C4F" w:rsidRPr="00454733">
        <w:rPr>
          <w:szCs w:val="24"/>
        </w:rPr>
        <w:t>claim</w:t>
      </w:r>
      <w:r w:rsidR="002600ED" w:rsidRPr="00454733">
        <w:rPr>
          <w:szCs w:val="24"/>
        </w:rPr>
        <w:t xml:space="preserve"> that a signed writing is required before beginning work.</w:t>
      </w:r>
      <w:r w:rsidR="00524DC8">
        <w:rPr>
          <w:szCs w:val="24"/>
        </w:rPr>
        <w:t xml:space="preserve"> </w:t>
      </w:r>
    </w:p>
    <w:p w14:paraId="16A43CC8" w14:textId="77777777" w:rsidR="002600ED" w:rsidRDefault="00097159" w:rsidP="00BC2F04">
      <w:pPr>
        <w:pStyle w:val="ListParagraph"/>
        <w:numPr>
          <w:ilvl w:val="1"/>
          <w:numId w:val="4"/>
        </w:numPr>
        <w:rPr>
          <w:b/>
          <w:szCs w:val="24"/>
        </w:rPr>
      </w:pPr>
      <w:r>
        <w:rPr>
          <w:b/>
          <w:szCs w:val="24"/>
        </w:rPr>
        <w:t>OGS</w:t>
      </w:r>
      <w:r w:rsidR="002600ED" w:rsidRPr="00454733">
        <w:rPr>
          <w:b/>
          <w:szCs w:val="24"/>
        </w:rPr>
        <w:t xml:space="preserve">’s </w:t>
      </w:r>
      <w:r>
        <w:rPr>
          <w:b/>
          <w:szCs w:val="24"/>
        </w:rPr>
        <w:t>i</w:t>
      </w:r>
      <w:r w:rsidR="002600ED" w:rsidRPr="00454733">
        <w:rPr>
          <w:b/>
          <w:szCs w:val="24"/>
        </w:rPr>
        <w:t xml:space="preserve">nterpretation of 17 U.S.C. § 101 </w:t>
      </w:r>
      <w:r w:rsidR="00514E71">
        <w:rPr>
          <w:b/>
          <w:szCs w:val="24"/>
        </w:rPr>
        <w:t>fails to</w:t>
      </w:r>
      <w:r>
        <w:rPr>
          <w:b/>
          <w:szCs w:val="24"/>
        </w:rPr>
        <w:t xml:space="preserve"> take into consideration the meaning of the words </w:t>
      </w:r>
      <w:r w:rsidR="00BD30BB">
        <w:rPr>
          <w:b/>
          <w:szCs w:val="24"/>
        </w:rPr>
        <w:t>used by the legislature in defining a work made for hire.</w:t>
      </w:r>
    </w:p>
    <w:p w14:paraId="35BC8C83" w14:textId="77777777" w:rsidR="000F1C4F" w:rsidRPr="00454733" w:rsidRDefault="000F1C4F" w:rsidP="00BC2F04">
      <w:pPr>
        <w:pStyle w:val="ListParagraph"/>
        <w:ind w:left="1440"/>
        <w:rPr>
          <w:b/>
          <w:szCs w:val="24"/>
        </w:rPr>
      </w:pPr>
    </w:p>
    <w:p w14:paraId="1D675ED9" w14:textId="77777777" w:rsidR="0092285F" w:rsidRDefault="00F42CA1" w:rsidP="00BC2F04">
      <w:pPr>
        <w:spacing w:line="480" w:lineRule="auto"/>
        <w:ind w:firstLine="720"/>
        <w:contextualSpacing/>
        <w:rPr>
          <w:szCs w:val="24"/>
        </w:rPr>
      </w:pPr>
      <w:r w:rsidRPr="00524DC8">
        <w:rPr>
          <w:szCs w:val="24"/>
        </w:rPr>
        <w:t>OGS’s</w:t>
      </w:r>
      <w:r w:rsidR="0092285F" w:rsidRPr="00524DC8">
        <w:rPr>
          <w:szCs w:val="24"/>
        </w:rPr>
        <w:t xml:space="preserve"> interpretation of</w:t>
      </w:r>
      <w:r w:rsidR="00CA029C" w:rsidRPr="00524DC8">
        <w:rPr>
          <w:szCs w:val="24"/>
        </w:rPr>
        <w:t xml:space="preserve"> </w:t>
      </w:r>
      <w:r w:rsidR="00514E71">
        <w:rPr>
          <w:szCs w:val="24"/>
        </w:rPr>
        <w:t>the</w:t>
      </w:r>
      <w:r w:rsidR="00CA029C" w:rsidRPr="00524DC8">
        <w:rPr>
          <w:szCs w:val="24"/>
        </w:rPr>
        <w:t xml:space="preserve"> work made for </w:t>
      </w:r>
      <w:r w:rsidR="00514E71">
        <w:rPr>
          <w:szCs w:val="24"/>
        </w:rPr>
        <w:t xml:space="preserve">definition </w:t>
      </w:r>
      <w:r w:rsidR="00CA029C" w:rsidRPr="00524DC8">
        <w:rPr>
          <w:szCs w:val="24"/>
        </w:rPr>
        <w:t xml:space="preserve">hire </w:t>
      </w:r>
      <w:r w:rsidRPr="00524DC8">
        <w:rPr>
          <w:szCs w:val="24"/>
        </w:rPr>
        <w:t xml:space="preserve">fails to take into consideration the implications of the words used in 17 U.S.C. § 101.  </w:t>
      </w:r>
      <w:r w:rsidR="00BD30BB" w:rsidRPr="00524DC8">
        <w:rPr>
          <w:szCs w:val="24"/>
        </w:rPr>
        <w:t xml:space="preserve"> According to the United States Supreme Court, </w:t>
      </w:r>
      <w:r w:rsidR="00D35D76" w:rsidRPr="00524DC8">
        <w:rPr>
          <w:szCs w:val="24"/>
        </w:rPr>
        <w:t xml:space="preserve">the first canon of interpretation is the plain language canon, meaning </w:t>
      </w:r>
      <w:r w:rsidR="00BD30BB" w:rsidRPr="00524DC8">
        <w:rPr>
          <w:szCs w:val="24"/>
        </w:rPr>
        <w:t>t</w:t>
      </w:r>
      <w:r w:rsidR="006A1527" w:rsidRPr="00524DC8">
        <w:rPr>
          <w:szCs w:val="24"/>
        </w:rPr>
        <w:t xml:space="preserve">he text of the statute </w:t>
      </w:r>
      <w:r w:rsidR="006A1527" w:rsidRPr="00524DC8">
        <w:rPr>
          <w:szCs w:val="24"/>
        </w:rPr>
        <w:lastRenderedPageBreak/>
        <w:t>is the starting place for all statutory analysis</w:t>
      </w:r>
      <w:r w:rsidR="002600ED" w:rsidRPr="00524DC8">
        <w:rPr>
          <w:szCs w:val="24"/>
        </w:rPr>
        <w:t xml:space="preserve">.  </w:t>
      </w:r>
      <w:r w:rsidR="00D35D76" w:rsidRPr="00524DC8">
        <w:rPr>
          <w:i/>
          <w:szCs w:val="24"/>
        </w:rPr>
        <w:t>Zuni Pub. Sch. Dist. No. 89 v. Dep't of Educ.</w:t>
      </w:r>
      <w:r w:rsidR="00D35D76" w:rsidRPr="00524DC8">
        <w:rPr>
          <w:szCs w:val="24"/>
        </w:rPr>
        <w:t xml:space="preserve">, 550 U.S. 81, 119 (2007); </w:t>
      </w:r>
      <w:r w:rsidR="002600ED" w:rsidRPr="00524DC8">
        <w:rPr>
          <w:i/>
          <w:szCs w:val="24"/>
        </w:rPr>
        <w:t>Williams v. Taylor</w:t>
      </w:r>
      <w:r w:rsidR="002600ED" w:rsidRPr="00524DC8">
        <w:rPr>
          <w:szCs w:val="24"/>
        </w:rPr>
        <w:t>, 529 U.S. 420, 431 (2000</w:t>
      </w:r>
      <w:r w:rsidR="00130841" w:rsidRPr="00524DC8">
        <w:rPr>
          <w:szCs w:val="24"/>
        </w:rPr>
        <w:t>)</w:t>
      </w:r>
      <w:r w:rsidR="00D35D76" w:rsidRPr="00524DC8">
        <w:rPr>
          <w:szCs w:val="24"/>
        </w:rPr>
        <w:t xml:space="preserve">; </w:t>
      </w:r>
      <w:r w:rsidR="00D35D76" w:rsidRPr="00524DC8">
        <w:rPr>
          <w:i/>
          <w:szCs w:val="24"/>
        </w:rPr>
        <w:t>United States v. Ron Pair Enterprises, Inc.</w:t>
      </w:r>
      <w:r w:rsidR="00D35D76" w:rsidRPr="00524DC8">
        <w:rPr>
          <w:szCs w:val="24"/>
        </w:rPr>
        <w:t xml:space="preserve">, 489 U.S. 235, 241 (1989).  </w:t>
      </w:r>
      <w:r w:rsidR="00BE3093" w:rsidRPr="00524DC8">
        <w:rPr>
          <w:szCs w:val="24"/>
        </w:rPr>
        <w:t xml:space="preserve">The </w:t>
      </w:r>
      <w:r w:rsidRPr="00524DC8">
        <w:rPr>
          <w:szCs w:val="24"/>
        </w:rPr>
        <w:t>Copyright Act defines a work made for hire as</w:t>
      </w:r>
      <w:r w:rsidR="00BE3093" w:rsidRPr="00524DC8">
        <w:rPr>
          <w:szCs w:val="24"/>
        </w:rPr>
        <w:t xml:space="preserve"> </w:t>
      </w:r>
      <w:r w:rsidR="00130841" w:rsidRPr="00524DC8">
        <w:rPr>
          <w:szCs w:val="24"/>
        </w:rPr>
        <w:t>“</w:t>
      </w:r>
      <w:r w:rsidR="00130841" w:rsidRPr="00524DC8">
        <w:rPr>
          <w:snapToGrid/>
          <w:szCs w:val="24"/>
        </w:rPr>
        <w:t xml:space="preserve">a work specially ordered or commissioned for use as a contribution to a collective work…  if the parties expressly agree in a written instrument signed by them that the work shall be considered a work made for hire.”  </w:t>
      </w:r>
      <w:proofErr w:type="gramStart"/>
      <w:r w:rsidR="00130841" w:rsidRPr="00524DC8">
        <w:rPr>
          <w:snapToGrid/>
          <w:szCs w:val="24"/>
        </w:rPr>
        <w:t>17 U.S.C.</w:t>
      </w:r>
      <w:r w:rsidR="00BE3093" w:rsidRPr="00524DC8">
        <w:rPr>
          <w:snapToGrid/>
          <w:szCs w:val="24"/>
        </w:rPr>
        <w:t xml:space="preserve"> § 101 (</w:t>
      </w:r>
      <w:r w:rsidR="00130841" w:rsidRPr="00524DC8">
        <w:rPr>
          <w:snapToGrid/>
          <w:szCs w:val="24"/>
        </w:rPr>
        <w:t>2006</w:t>
      </w:r>
      <w:r w:rsidR="00BE3093" w:rsidRPr="00524DC8">
        <w:rPr>
          <w:snapToGrid/>
          <w:szCs w:val="24"/>
        </w:rPr>
        <w:t>)</w:t>
      </w:r>
      <w:r w:rsidR="00130841" w:rsidRPr="00524DC8">
        <w:rPr>
          <w:snapToGrid/>
          <w:szCs w:val="24"/>
        </w:rPr>
        <w:t>.</w:t>
      </w:r>
      <w:proofErr w:type="gramEnd"/>
      <w:r w:rsidR="00130841" w:rsidRPr="00524DC8">
        <w:rPr>
          <w:szCs w:val="24"/>
        </w:rPr>
        <w:t xml:space="preserve">  </w:t>
      </w:r>
      <w:r w:rsidR="00FA008B" w:rsidRPr="00524DC8">
        <w:rPr>
          <w:snapToGrid/>
          <w:szCs w:val="24"/>
        </w:rPr>
        <w:t xml:space="preserve">When a term </w:t>
      </w:r>
      <w:r w:rsidR="0092285F" w:rsidRPr="00524DC8">
        <w:rPr>
          <w:snapToGrid/>
          <w:szCs w:val="24"/>
        </w:rPr>
        <w:t>is not</w:t>
      </w:r>
      <w:r w:rsidR="00FA008B" w:rsidRPr="00524DC8">
        <w:rPr>
          <w:snapToGrid/>
          <w:szCs w:val="24"/>
        </w:rPr>
        <w:t xml:space="preserve"> defined in a statute, courts look to its natural, ordinary meaning (</w:t>
      </w:r>
      <w:r w:rsidR="00FA008B" w:rsidRPr="00524DC8">
        <w:rPr>
          <w:rFonts w:eastAsiaTheme="minorHAnsi"/>
          <w:i/>
          <w:snapToGrid/>
          <w:szCs w:val="24"/>
        </w:rPr>
        <w:t>FDIC v. Meyer</w:t>
      </w:r>
      <w:r w:rsidR="006657CB" w:rsidRPr="00524DC8">
        <w:rPr>
          <w:rFonts w:eastAsiaTheme="minorHAnsi"/>
          <w:snapToGrid/>
          <w:szCs w:val="24"/>
        </w:rPr>
        <w:t xml:space="preserve">, 510 U.S. 471, 476 (1994).  </w:t>
      </w:r>
      <w:r w:rsidR="00FA008B" w:rsidRPr="00524DC8">
        <w:rPr>
          <w:rFonts w:eastAsiaTheme="minorHAnsi"/>
          <w:snapToGrid/>
          <w:szCs w:val="24"/>
        </w:rPr>
        <w:t xml:space="preserve"> </w:t>
      </w:r>
      <w:r w:rsidR="006657CB" w:rsidRPr="00524DC8">
        <w:rPr>
          <w:rFonts w:eastAsiaTheme="minorHAnsi"/>
          <w:snapToGrid/>
          <w:szCs w:val="24"/>
        </w:rPr>
        <w:t xml:space="preserve">The </w:t>
      </w:r>
      <w:r w:rsidR="006657CB" w:rsidRPr="00524DC8">
        <w:rPr>
          <w:rFonts w:eastAsiaTheme="minorHAnsi"/>
          <w:i/>
          <w:snapToGrid/>
          <w:szCs w:val="24"/>
        </w:rPr>
        <w:t>Merriam-Webster Dictionary</w:t>
      </w:r>
      <w:r w:rsidR="006657CB" w:rsidRPr="00524DC8">
        <w:rPr>
          <w:rFonts w:eastAsiaTheme="minorHAnsi"/>
          <w:snapToGrid/>
          <w:szCs w:val="24"/>
        </w:rPr>
        <w:t xml:space="preserve"> defines</w:t>
      </w:r>
      <w:r w:rsidR="00FA008B" w:rsidRPr="00524DC8">
        <w:rPr>
          <w:rFonts w:eastAsiaTheme="minorHAnsi"/>
          <w:snapToGrid/>
          <w:szCs w:val="24"/>
        </w:rPr>
        <w:t xml:space="preserve"> “shall,” </w:t>
      </w:r>
      <w:r w:rsidR="006657CB" w:rsidRPr="00524DC8">
        <w:rPr>
          <w:rFonts w:eastAsiaTheme="minorHAnsi"/>
          <w:snapToGrid/>
          <w:szCs w:val="24"/>
        </w:rPr>
        <w:t>as a term</w:t>
      </w:r>
      <w:r w:rsidR="00FA008B" w:rsidRPr="00524DC8">
        <w:rPr>
          <w:rFonts w:eastAsiaTheme="minorHAnsi"/>
          <w:snapToGrid/>
          <w:szCs w:val="24"/>
        </w:rPr>
        <w:t>, “</w:t>
      </w:r>
      <w:r w:rsidR="00FA008B" w:rsidRPr="00524DC8">
        <w:rPr>
          <w:rStyle w:val="ssens"/>
          <w:szCs w:val="24"/>
        </w:rPr>
        <w:t xml:space="preserve">used to express what is inevitable or seems likely to happen in the </w:t>
      </w:r>
      <w:r w:rsidR="0092285F" w:rsidRPr="00524DC8">
        <w:rPr>
          <w:rStyle w:val="ssens"/>
          <w:szCs w:val="24"/>
        </w:rPr>
        <w:t>future,</w:t>
      </w:r>
      <w:r w:rsidR="00FA008B" w:rsidRPr="00524DC8">
        <w:rPr>
          <w:rStyle w:val="vi"/>
          <w:szCs w:val="24"/>
        </w:rPr>
        <w:t>” or, “</w:t>
      </w:r>
      <w:r w:rsidR="00FA008B" w:rsidRPr="00524DC8">
        <w:rPr>
          <w:rStyle w:val="ssens"/>
          <w:szCs w:val="24"/>
        </w:rPr>
        <w:t xml:space="preserve">to express simple </w:t>
      </w:r>
      <w:r w:rsidR="0092285F" w:rsidRPr="00524DC8">
        <w:rPr>
          <w:rStyle w:val="ssens"/>
          <w:szCs w:val="24"/>
        </w:rPr>
        <w:t>futurity.</w:t>
      </w:r>
      <w:r w:rsidR="00FA008B" w:rsidRPr="00524DC8">
        <w:rPr>
          <w:rStyle w:val="vi"/>
          <w:szCs w:val="24"/>
        </w:rPr>
        <w:t>”</w:t>
      </w:r>
      <w:r w:rsidR="00FA008B" w:rsidRPr="00524DC8">
        <w:rPr>
          <w:snapToGrid/>
          <w:szCs w:val="24"/>
        </w:rPr>
        <w:t xml:space="preserve">  </w:t>
      </w:r>
      <w:r w:rsidR="00377C82" w:rsidRPr="00524DC8">
        <w:rPr>
          <w:i/>
          <w:snapToGrid/>
          <w:szCs w:val="24"/>
        </w:rPr>
        <w:t>Merriam-Webster Dictionary</w:t>
      </w:r>
      <w:r w:rsidR="00FA008B" w:rsidRPr="00524DC8">
        <w:rPr>
          <w:i/>
          <w:snapToGrid/>
          <w:szCs w:val="24"/>
        </w:rPr>
        <w:t>,</w:t>
      </w:r>
      <w:r w:rsidR="00377C82" w:rsidRPr="00524DC8">
        <w:rPr>
          <w:i/>
          <w:snapToGrid/>
          <w:szCs w:val="24"/>
        </w:rPr>
        <w:t xml:space="preserve"> </w:t>
      </w:r>
      <w:r w:rsidR="00377C82" w:rsidRPr="00524DC8">
        <w:rPr>
          <w:snapToGrid/>
          <w:szCs w:val="24"/>
        </w:rPr>
        <w:t>www.Merriam-Webster.com (2012)</w:t>
      </w:r>
      <w:r w:rsidR="006A369B" w:rsidRPr="00524DC8">
        <w:rPr>
          <w:snapToGrid/>
          <w:szCs w:val="24"/>
        </w:rPr>
        <w:t xml:space="preserve">; see also </w:t>
      </w:r>
      <w:r w:rsidR="006A369B" w:rsidRPr="00524DC8">
        <w:rPr>
          <w:i/>
          <w:szCs w:val="24"/>
        </w:rPr>
        <w:t>United States v. Santos</w:t>
      </w:r>
      <w:r w:rsidR="006A369B" w:rsidRPr="00524DC8">
        <w:rPr>
          <w:szCs w:val="24"/>
        </w:rPr>
        <w:t>, 553 U.S. 507, 511 (2008) (using non-legal dictionaries to determine the “ordinary meaning” of a statutory term)</w:t>
      </w:r>
      <w:r w:rsidR="00377C82" w:rsidRPr="00524DC8">
        <w:rPr>
          <w:snapToGrid/>
          <w:szCs w:val="24"/>
        </w:rPr>
        <w:t>.</w:t>
      </w:r>
      <w:r w:rsidR="00FA008B" w:rsidRPr="00524DC8">
        <w:rPr>
          <w:snapToGrid/>
          <w:szCs w:val="24"/>
        </w:rPr>
        <w:t xml:space="preserve">  </w:t>
      </w:r>
      <w:r w:rsidR="00D35D76" w:rsidRPr="00524DC8">
        <w:rPr>
          <w:snapToGrid/>
          <w:szCs w:val="24"/>
        </w:rPr>
        <w:t>Shall also “</w:t>
      </w:r>
      <w:r w:rsidR="00D35D76" w:rsidRPr="00524DC8">
        <w:rPr>
          <w:szCs w:val="24"/>
        </w:rPr>
        <w:t>creates an obligation impervious to judicial discretion</w:t>
      </w:r>
      <w:r w:rsidR="00D35D76" w:rsidRPr="00524DC8">
        <w:rPr>
          <w:i/>
          <w:szCs w:val="24"/>
        </w:rPr>
        <w:t xml:space="preserve">,” </w:t>
      </w:r>
      <w:r w:rsidR="00D35D76" w:rsidRPr="00524DC8">
        <w:rPr>
          <w:szCs w:val="24"/>
        </w:rPr>
        <w:t xml:space="preserve">meaning that the requirement for this pre-creation signed writing is not discretionary, but mandated by the statute.  </w:t>
      </w:r>
      <w:r w:rsidR="00D35D76" w:rsidRPr="00524DC8">
        <w:rPr>
          <w:i/>
          <w:szCs w:val="24"/>
        </w:rPr>
        <w:t>Lexecon Inc. v. Milberg Weiss Bershad Hynes &amp; Lerach</w:t>
      </w:r>
      <w:r w:rsidR="00D35D76" w:rsidRPr="00524DC8">
        <w:rPr>
          <w:szCs w:val="24"/>
        </w:rPr>
        <w:t>, 523 U.S. 26, 35 (1998).</w:t>
      </w:r>
    </w:p>
    <w:p w14:paraId="21AE7BD5" w14:textId="77777777" w:rsidR="00321EF5" w:rsidRPr="00524DC8" w:rsidRDefault="00321EF5" w:rsidP="00BC2F04">
      <w:pPr>
        <w:spacing w:line="480" w:lineRule="auto"/>
        <w:ind w:firstLine="720"/>
        <w:contextualSpacing/>
        <w:rPr>
          <w:szCs w:val="24"/>
        </w:rPr>
      </w:pPr>
      <w:r w:rsidRPr="00524DC8">
        <w:rPr>
          <w:snapToGrid/>
          <w:szCs w:val="24"/>
        </w:rPr>
        <w:t xml:space="preserve">The introductory statement, “a work specially ordered or commissioned,” signifies the creation is to take place in the future.  </w:t>
      </w:r>
      <w:proofErr w:type="gramStart"/>
      <w:r w:rsidRPr="00524DC8">
        <w:rPr>
          <w:snapToGrid/>
          <w:szCs w:val="24"/>
        </w:rPr>
        <w:t>17 U.S.C. § 101 (2006).</w:t>
      </w:r>
      <w:proofErr w:type="gramEnd"/>
      <w:r w:rsidRPr="00524DC8">
        <w:rPr>
          <w:snapToGrid/>
          <w:szCs w:val="24"/>
        </w:rPr>
        <w:t xml:space="preserve">  To </w:t>
      </w:r>
      <w:proofErr w:type="gramStart"/>
      <w:r w:rsidRPr="00524DC8">
        <w:rPr>
          <w:snapToGrid/>
          <w:szCs w:val="24"/>
        </w:rPr>
        <w:t>specially</w:t>
      </w:r>
      <w:proofErr w:type="gramEnd"/>
      <w:r w:rsidRPr="00524DC8">
        <w:rPr>
          <w:snapToGrid/>
          <w:szCs w:val="24"/>
        </w:rPr>
        <w:t xml:space="preserve"> order or commission a work implies that t</w:t>
      </w:r>
      <w:r w:rsidR="00514E71">
        <w:rPr>
          <w:snapToGrid/>
          <w:szCs w:val="24"/>
        </w:rPr>
        <w:t xml:space="preserve">he work has yet to be created.  </w:t>
      </w:r>
      <w:r w:rsidRPr="00524DC8">
        <w:rPr>
          <w:snapToGrid/>
          <w:szCs w:val="24"/>
        </w:rPr>
        <w:t xml:space="preserve">The use of “shall” indicates the written instrument is also in reference to a future work.  The implied sense of future </w:t>
      </w:r>
      <w:r>
        <w:rPr>
          <w:snapToGrid/>
          <w:szCs w:val="24"/>
        </w:rPr>
        <w:t xml:space="preserve">tense </w:t>
      </w:r>
      <w:r w:rsidRPr="00524DC8">
        <w:rPr>
          <w:snapToGrid/>
          <w:szCs w:val="24"/>
        </w:rPr>
        <w:t xml:space="preserve">in the language of the statutory definition combined with the use of “shall,” indicates the drafters meant for </w:t>
      </w:r>
      <w:proofErr w:type="gramStart"/>
      <w:r w:rsidRPr="00524DC8">
        <w:rPr>
          <w:snapToGrid/>
          <w:szCs w:val="24"/>
        </w:rPr>
        <w:t>a writing</w:t>
      </w:r>
      <w:proofErr w:type="gramEnd"/>
      <w:r w:rsidRPr="00524DC8">
        <w:rPr>
          <w:snapToGrid/>
          <w:szCs w:val="24"/>
        </w:rPr>
        <w:t xml:space="preserve"> to be signed prior to creation.  </w:t>
      </w:r>
      <w:proofErr w:type="gramStart"/>
      <w:r w:rsidRPr="00524DC8">
        <w:rPr>
          <w:snapToGrid/>
          <w:szCs w:val="24"/>
        </w:rPr>
        <w:t>17 U.S.C. § 101 (2006).</w:t>
      </w:r>
      <w:proofErr w:type="gramEnd"/>
      <w:r w:rsidRPr="00524DC8">
        <w:rPr>
          <w:snapToGrid/>
          <w:szCs w:val="24"/>
        </w:rPr>
        <w:t xml:space="preserve">  Although there are other definitions of “shall” which do not </w:t>
      </w:r>
      <w:r w:rsidR="00CD3D26">
        <w:rPr>
          <w:snapToGrid/>
          <w:szCs w:val="24"/>
        </w:rPr>
        <w:t>imply future tense</w:t>
      </w:r>
      <w:r w:rsidRPr="00524DC8">
        <w:rPr>
          <w:snapToGrid/>
          <w:szCs w:val="24"/>
        </w:rPr>
        <w:t xml:space="preserve">, the juxtaposition of “shall” and “specially ordered and commissioned,” </w:t>
      </w:r>
      <w:r w:rsidR="00CD3D26">
        <w:rPr>
          <w:snapToGrid/>
          <w:szCs w:val="24"/>
        </w:rPr>
        <w:t>referring to actions to be taken in the future</w:t>
      </w:r>
      <w:r w:rsidRPr="00524DC8">
        <w:rPr>
          <w:snapToGrid/>
          <w:szCs w:val="24"/>
        </w:rPr>
        <w:t xml:space="preserve">, indicates the commissioning and signing should take place before creation. </w:t>
      </w:r>
      <w:proofErr w:type="gramStart"/>
      <w:r w:rsidRPr="00524DC8">
        <w:rPr>
          <w:snapToGrid/>
          <w:szCs w:val="24"/>
        </w:rPr>
        <w:t>17 U.S.C. § 101 (2006).</w:t>
      </w:r>
      <w:proofErr w:type="gramEnd"/>
      <w:r w:rsidRPr="00524DC8">
        <w:rPr>
          <w:snapToGrid/>
          <w:szCs w:val="24"/>
        </w:rPr>
        <w:t xml:space="preserve">  </w:t>
      </w:r>
    </w:p>
    <w:p w14:paraId="3DD15B6B" w14:textId="77777777" w:rsidR="00BC2F04" w:rsidRPr="00532868" w:rsidRDefault="00BC2F04" w:rsidP="00BC2F04">
      <w:pPr>
        <w:spacing w:line="480" w:lineRule="auto"/>
        <w:ind w:firstLine="720"/>
        <w:contextualSpacing/>
        <w:rPr>
          <w:szCs w:val="24"/>
        </w:rPr>
      </w:pPr>
      <w:r w:rsidRPr="00454733">
        <w:rPr>
          <w:szCs w:val="24"/>
        </w:rPr>
        <w:lastRenderedPageBreak/>
        <w:t xml:space="preserve">OGS’s counsel may attempt to apply the </w:t>
      </w:r>
      <w:r>
        <w:rPr>
          <w:szCs w:val="24"/>
        </w:rPr>
        <w:t xml:space="preserve">plain meaning canon, </w:t>
      </w:r>
      <w:r w:rsidRPr="00454733">
        <w:rPr>
          <w:szCs w:val="24"/>
        </w:rPr>
        <w:t xml:space="preserve">maintaining that Congress is capable </w:t>
      </w:r>
      <w:proofErr w:type="gramStart"/>
      <w:r w:rsidRPr="00454733">
        <w:rPr>
          <w:szCs w:val="24"/>
        </w:rPr>
        <w:t>of  stating</w:t>
      </w:r>
      <w:proofErr w:type="gramEnd"/>
      <w:r w:rsidRPr="00454733">
        <w:rPr>
          <w:szCs w:val="24"/>
        </w:rPr>
        <w:t xml:space="preserve"> its intention, as discussed by the Supreme Court in </w:t>
      </w:r>
      <w:r w:rsidRPr="00454733">
        <w:rPr>
          <w:i/>
          <w:snapToGrid/>
          <w:szCs w:val="24"/>
        </w:rPr>
        <w:t>Whitfield v. United States</w:t>
      </w:r>
      <w:r w:rsidRPr="00454733">
        <w:rPr>
          <w:snapToGrid/>
          <w:szCs w:val="24"/>
        </w:rPr>
        <w:t>, 543 U.S. 209, 216 (2005)</w:t>
      </w:r>
      <w:r>
        <w:rPr>
          <w:snapToGrid/>
          <w:szCs w:val="24"/>
        </w:rPr>
        <w:t xml:space="preserve">; </w:t>
      </w:r>
      <w:r w:rsidRPr="00532868">
        <w:rPr>
          <w:snapToGrid/>
          <w:szCs w:val="24"/>
        </w:rPr>
        <w:t>see also</w:t>
      </w:r>
      <w:r>
        <w:rPr>
          <w:i/>
          <w:snapToGrid/>
          <w:szCs w:val="24"/>
        </w:rPr>
        <w:t xml:space="preserve"> </w:t>
      </w:r>
      <w:r w:rsidRPr="000C78AA">
        <w:rPr>
          <w:szCs w:val="24"/>
        </w:rPr>
        <w:t xml:space="preserve">Alan R. Lepene, Sean A. Gordon, </w:t>
      </w:r>
      <w:r w:rsidRPr="000C78AA">
        <w:rPr>
          <w:i/>
          <w:szCs w:val="24"/>
        </w:rPr>
        <w:t>The Case for Derivative Standing in Chapter 11: "It's the Plain Meaning, Stupid"</w:t>
      </w:r>
      <w:r w:rsidRPr="000C78AA">
        <w:rPr>
          <w:szCs w:val="24"/>
        </w:rPr>
        <w:t>, 11 Am.</w:t>
      </w:r>
      <w:r>
        <w:rPr>
          <w:szCs w:val="24"/>
        </w:rPr>
        <w:t xml:space="preserve"> Bankr. Inst. L. Rev. 313 (2003)</w:t>
      </w:r>
      <w:r w:rsidRPr="00454733">
        <w:rPr>
          <w:snapToGrid/>
          <w:szCs w:val="24"/>
        </w:rPr>
        <w:t xml:space="preserve">.  </w:t>
      </w:r>
      <w:r>
        <w:rPr>
          <w:snapToGrid/>
          <w:szCs w:val="24"/>
        </w:rPr>
        <w:t xml:space="preserve">OGS may argue that </w:t>
      </w:r>
      <w:r w:rsidRPr="00454733">
        <w:rPr>
          <w:snapToGrid/>
          <w:szCs w:val="24"/>
        </w:rPr>
        <w:t xml:space="preserve">Congress did not explicitly state the requirement for a signed instrument prior to </w:t>
      </w:r>
      <w:proofErr w:type="gramStart"/>
      <w:r w:rsidRPr="00454733">
        <w:rPr>
          <w:snapToGrid/>
          <w:szCs w:val="24"/>
        </w:rPr>
        <w:t>creation</w:t>
      </w:r>
      <w:r>
        <w:rPr>
          <w:snapToGrid/>
          <w:szCs w:val="24"/>
        </w:rPr>
        <w:t>,</w:t>
      </w:r>
      <w:proofErr w:type="gramEnd"/>
      <w:r>
        <w:rPr>
          <w:snapToGrid/>
          <w:szCs w:val="24"/>
        </w:rPr>
        <w:t xml:space="preserve"> however, </w:t>
      </w:r>
      <w:r w:rsidRPr="00454733">
        <w:rPr>
          <w:snapToGrid/>
          <w:szCs w:val="24"/>
        </w:rPr>
        <w:t xml:space="preserve">Congress would be burdened to the point of ineffectiveness if required to explicitly state every intended requirement of each statute enacted.  For that reason, they rely on courts to reasonably apply statutory canons, to </w:t>
      </w:r>
      <w:r>
        <w:rPr>
          <w:snapToGrid/>
          <w:szCs w:val="24"/>
        </w:rPr>
        <w:t>analyze and apply</w:t>
      </w:r>
      <w:r w:rsidRPr="00454733">
        <w:rPr>
          <w:snapToGrid/>
          <w:szCs w:val="24"/>
        </w:rPr>
        <w:t xml:space="preserve"> statutes as a whole, and attempt to interpret statutes consistently.  </w:t>
      </w:r>
      <w:r w:rsidRPr="00454733">
        <w:rPr>
          <w:i/>
          <w:snapToGrid/>
          <w:szCs w:val="24"/>
        </w:rPr>
        <w:t>Chevron, U.S.A., Inc. v. Natural Res. Def. Council, Inc</w:t>
      </w:r>
      <w:r w:rsidRPr="00454733">
        <w:rPr>
          <w:snapToGrid/>
          <w:szCs w:val="24"/>
        </w:rPr>
        <w:t>., 467 U.S. 837, 843 (1984) (noting in relevant part that in the absence of Congress’s explicit address of an issue, a court may impose its own construction).  The canon that</w:t>
      </w:r>
      <w:r w:rsidRPr="00454733">
        <w:rPr>
          <w:szCs w:val="24"/>
        </w:rPr>
        <w:t xml:space="preserve"> </w:t>
      </w:r>
      <w:r w:rsidRPr="00454733">
        <w:rPr>
          <w:snapToGrid/>
          <w:szCs w:val="24"/>
        </w:rPr>
        <w:t>“Congress' silence is just that-silence,” (</w:t>
      </w:r>
      <w:r w:rsidRPr="00454733">
        <w:rPr>
          <w:i/>
          <w:iCs/>
          <w:snapToGrid/>
          <w:szCs w:val="24"/>
        </w:rPr>
        <w:t>Alaska Airlines, Inc. v. Brock,</w:t>
      </w:r>
      <w:r w:rsidRPr="00454733">
        <w:rPr>
          <w:snapToGrid/>
          <w:szCs w:val="24"/>
        </w:rPr>
        <w:t xml:space="preserve"> 480 U.S. 678, 686, (1987)) can be refuted in the same manner.  </w:t>
      </w:r>
      <w:r>
        <w:rPr>
          <w:snapToGrid/>
          <w:szCs w:val="24"/>
        </w:rPr>
        <w:t xml:space="preserve">The implications of plain language of § 101 in addition to the understanding of § 101 necessary for consistency within 17 U.S.C. require that </w:t>
      </w:r>
      <w:proofErr w:type="gramStart"/>
      <w:r>
        <w:rPr>
          <w:snapToGrid/>
          <w:szCs w:val="24"/>
        </w:rPr>
        <w:t>a writing</w:t>
      </w:r>
      <w:proofErr w:type="gramEnd"/>
      <w:r>
        <w:rPr>
          <w:snapToGrid/>
          <w:szCs w:val="24"/>
        </w:rPr>
        <w:t xml:space="preserve"> be signed before creation.  The fact that Congress did not state this requirement more explicitly does nothing to prove Congress did not intend for it to be in place.  </w:t>
      </w:r>
    </w:p>
    <w:p w14:paraId="23ACE4D3" w14:textId="77777777" w:rsidR="00CD3D26" w:rsidRDefault="00003E87" w:rsidP="00BC2F04">
      <w:pPr>
        <w:spacing w:after="240" w:line="480" w:lineRule="auto"/>
        <w:ind w:firstLine="720"/>
        <w:contextualSpacing/>
        <w:rPr>
          <w:snapToGrid/>
          <w:szCs w:val="24"/>
        </w:rPr>
      </w:pPr>
      <w:r w:rsidRPr="00524DC8">
        <w:rPr>
          <w:snapToGrid/>
          <w:szCs w:val="24"/>
        </w:rPr>
        <w:t xml:space="preserve">When considering the plain language of 17 U.S.C. § 101, </w:t>
      </w:r>
      <w:r w:rsidR="00FA008B" w:rsidRPr="00524DC8">
        <w:rPr>
          <w:snapToGrid/>
          <w:szCs w:val="24"/>
        </w:rPr>
        <w:t xml:space="preserve">Ms. Lime’s agreement with OGS, signed after writing “Anticipatory Repudiation,” </w:t>
      </w:r>
      <w:r w:rsidR="00CD3D26">
        <w:rPr>
          <w:snapToGrid/>
          <w:szCs w:val="24"/>
        </w:rPr>
        <w:t>did not meet</w:t>
      </w:r>
      <w:r w:rsidR="00FA008B" w:rsidRPr="00524DC8">
        <w:rPr>
          <w:snapToGrid/>
          <w:szCs w:val="24"/>
        </w:rPr>
        <w:t xml:space="preserve"> the requirements of a work made for hire agreement.  </w:t>
      </w:r>
      <w:r w:rsidRPr="00524DC8">
        <w:rPr>
          <w:snapToGrid/>
          <w:szCs w:val="24"/>
        </w:rPr>
        <w:t xml:space="preserve">OGS asserts that the signed instrument is not required prior to creation, although the text of the statute indicates otherwise.  </w:t>
      </w:r>
      <w:r w:rsidRPr="00524DC8">
        <w:rPr>
          <w:i/>
          <w:snapToGrid/>
          <w:szCs w:val="24"/>
        </w:rPr>
        <w:t xml:space="preserve"> </w:t>
      </w:r>
      <w:r w:rsidR="00077CD5" w:rsidRPr="00524DC8">
        <w:rPr>
          <w:snapToGrid/>
          <w:szCs w:val="24"/>
        </w:rPr>
        <w:t>OGS’s claim</w:t>
      </w:r>
      <w:r w:rsidRPr="00524DC8">
        <w:rPr>
          <w:snapToGrid/>
          <w:szCs w:val="24"/>
        </w:rPr>
        <w:t xml:space="preserve"> must </w:t>
      </w:r>
      <w:proofErr w:type="gramStart"/>
      <w:r w:rsidRPr="00524DC8">
        <w:rPr>
          <w:snapToGrid/>
          <w:szCs w:val="24"/>
        </w:rPr>
        <w:t>fail</w:t>
      </w:r>
      <w:proofErr w:type="gramEnd"/>
      <w:r w:rsidRPr="00524DC8">
        <w:rPr>
          <w:snapToGrid/>
          <w:szCs w:val="24"/>
        </w:rPr>
        <w:t xml:space="preserve"> as it</w:t>
      </w:r>
      <w:r w:rsidR="00077CD5" w:rsidRPr="00524DC8">
        <w:rPr>
          <w:snapToGrid/>
          <w:szCs w:val="24"/>
        </w:rPr>
        <w:t xml:space="preserve"> does not withstand</w:t>
      </w:r>
      <w:r w:rsidR="00FA008B" w:rsidRPr="00524DC8">
        <w:rPr>
          <w:snapToGrid/>
          <w:szCs w:val="24"/>
        </w:rPr>
        <w:t xml:space="preserve"> </w:t>
      </w:r>
      <w:r w:rsidR="00077CD5" w:rsidRPr="00524DC8">
        <w:rPr>
          <w:snapToGrid/>
          <w:szCs w:val="24"/>
        </w:rPr>
        <w:t>an analysis of the plain language of 17 U.S.C. § 101.</w:t>
      </w:r>
    </w:p>
    <w:p w14:paraId="3AD33B09" w14:textId="77777777" w:rsidR="0081449E" w:rsidRDefault="0081449E" w:rsidP="00BC2F04">
      <w:pPr>
        <w:spacing w:after="240" w:line="480" w:lineRule="auto"/>
        <w:ind w:firstLine="720"/>
        <w:contextualSpacing/>
        <w:rPr>
          <w:snapToGrid/>
          <w:szCs w:val="24"/>
        </w:rPr>
      </w:pPr>
    </w:p>
    <w:p w14:paraId="548C8D94" w14:textId="77777777" w:rsidR="0081449E" w:rsidRDefault="0081449E" w:rsidP="00BC2F04">
      <w:pPr>
        <w:spacing w:after="240" w:line="480" w:lineRule="auto"/>
        <w:ind w:firstLine="720"/>
        <w:contextualSpacing/>
        <w:rPr>
          <w:snapToGrid/>
          <w:szCs w:val="24"/>
        </w:rPr>
      </w:pPr>
    </w:p>
    <w:p w14:paraId="2F204148" w14:textId="77777777" w:rsidR="00CD3D26" w:rsidRDefault="00097159" w:rsidP="00BC2F04">
      <w:pPr>
        <w:pStyle w:val="ListParagraph"/>
        <w:numPr>
          <w:ilvl w:val="1"/>
          <w:numId w:val="4"/>
        </w:numPr>
        <w:spacing w:after="240"/>
        <w:rPr>
          <w:b/>
          <w:szCs w:val="24"/>
        </w:rPr>
      </w:pPr>
      <w:r w:rsidRPr="00CD3D26">
        <w:rPr>
          <w:b/>
          <w:szCs w:val="24"/>
        </w:rPr>
        <w:lastRenderedPageBreak/>
        <w:t xml:space="preserve">Plaintiff’s interpretation of 17 U.S.C. § 101 fails because it promotes a </w:t>
      </w:r>
      <w:proofErr w:type="gramStart"/>
      <w:r w:rsidRPr="00CD3D26">
        <w:rPr>
          <w:b/>
          <w:szCs w:val="24"/>
        </w:rPr>
        <w:t>construction which</w:t>
      </w:r>
      <w:proofErr w:type="gramEnd"/>
      <w:r w:rsidRPr="00CD3D26">
        <w:rPr>
          <w:b/>
          <w:szCs w:val="24"/>
        </w:rPr>
        <w:t xml:space="preserve"> is inconsistent with the entirety of the statute.</w:t>
      </w:r>
    </w:p>
    <w:p w14:paraId="03752AD2" w14:textId="77777777" w:rsidR="00CD3D26" w:rsidRPr="00CD3D26" w:rsidRDefault="00CD3D26" w:rsidP="00BC2F04">
      <w:pPr>
        <w:pStyle w:val="ListParagraph"/>
        <w:spacing w:after="240"/>
        <w:ind w:left="1440"/>
        <w:rPr>
          <w:b/>
          <w:szCs w:val="24"/>
        </w:rPr>
      </w:pPr>
    </w:p>
    <w:p w14:paraId="40F86E97" w14:textId="77777777" w:rsidR="006B1939" w:rsidRPr="00454733" w:rsidRDefault="00AD1B67" w:rsidP="00BC2F04">
      <w:pPr>
        <w:spacing w:after="240" w:line="480" w:lineRule="auto"/>
        <w:ind w:firstLine="720"/>
        <w:contextualSpacing/>
        <w:rPr>
          <w:szCs w:val="24"/>
        </w:rPr>
      </w:pPr>
      <w:r>
        <w:rPr>
          <w:szCs w:val="24"/>
        </w:rPr>
        <w:t xml:space="preserve">In addition to considering the plain language of a statute, a court must also interpret a provision in context of the entire statute.  </w:t>
      </w:r>
      <w:proofErr w:type="gramStart"/>
      <w:r w:rsidRPr="00454733">
        <w:rPr>
          <w:i/>
          <w:szCs w:val="24"/>
        </w:rPr>
        <w:t>United States v. Morton</w:t>
      </w:r>
      <w:r w:rsidRPr="00454733">
        <w:rPr>
          <w:szCs w:val="24"/>
        </w:rPr>
        <w:t>, 467 U.S. 822, 828 (1986)</w:t>
      </w:r>
      <w:r>
        <w:rPr>
          <w:szCs w:val="24"/>
        </w:rPr>
        <w:t>.</w:t>
      </w:r>
      <w:proofErr w:type="gramEnd"/>
      <w:r>
        <w:rPr>
          <w:szCs w:val="24"/>
        </w:rPr>
        <w:t xml:space="preserve">  </w:t>
      </w:r>
      <w:r w:rsidR="006E1E62" w:rsidRPr="00454733">
        <w:rPr>
          <w:szCs w:val="24"/>
        </w:rPr>
        <w:t>There are numerous canons dedicated to ensuring</w:t>
      </w:r>
      <w:r w:rsidR="00E67672" w:rsidRPr="00454733">
        <w:rPr>
          <w:szCs w:val="24"/>
        </w:rPr>
        <w:t xml:space="preserve"> that a statute is not considered in isolation, but in its entirety.  </w:t>
      </w:r>
      <w:r>
        <w:rPr>
          <w:szCs w:val="24"/>
        </w:rPr>
        <w:t xml:space="preserve">Among these canons is one </w:t>
      </w:r>
      <w:r w:rsidR="00E67672" w:rsidRPr="00454733">
        <w:rPr>
          <w:szCs w:val="24"/>
        </w:rPr>
        <w:t xml:space="preserve">stating </w:t>
      </w:r>
      <w:r w:rsidR="006E1E62" w:rsidRPr="00454733">
        <w:rPr>
          <w:szCs w:val="24"/>
        </w:rPr>
        <w:t xml:space="preserve">that acts </w:t>
      </w:r>
      <w:r>
        <w:rPr>
          <w:szCs w:val="24"/>
        </w:rPr>
        <w:t>must be</w:t>
      </w:r>
      <w:r w:rsidR="006E1E62" w:rsidRPr="00454733">
        <w:rPr>
          <w:szCs w:val="24"/>
        </w:rPr>
        <w:t xml:space="preserve"> interpreted as a whole </w:t>
      </w:r>
      <w:r w:rsidR="00451A05" w:rsidRPr="00454733">
        <w:rPr>
          <w:szCs w:val="24"/>
        </w:rPr>
        <w:t>(</w:t>
      </w:r>
      <w:r>
        <w:rPr>
          <w:i/>
          <w:szCs w:val="24"/>
        </w:rPr>
        <w:t>United States, 467 U.S. at 828.</w:t>
      </w:r>
      <w:proofErr w:type="gramStart"/>
      <w:r>
        <w:rPr>
          <w:i/>
          <w:szCs w:val="24"/>
        </w:rPr>
        <w:t>)</w:t>
      </w:r>
      <w:proofErr w:type="gramEnd"/>
      <w:r>
        <w:rPr>
          <w:i/>
          <w:szCs w:val="24"/>
        </w:rPr>
        <w:t xml:space="preserve"> </w:t>
      </w:r>
      <w:r w:rsidR="00AD200E" w:rsidRPr="00454733">
        <w:rPr>
          <w:szCs w:val="24"/>
        </w:rPr>
        <w:t>(</w:t>
      </w:r>
      <w:proofErr w:type="gramStart"/>
      <w:r w:rsidR="00AD200E" w:rsidRPr="00454733">
        <w:rPr>
          <w:szCs w:val="24"/>
        </w:rPr>
        <w:t>stating</w:t>
      </w:r>
      <w:proofErr w:type="gramEnd"/>
      <w:r w:rsidR="00AD200E" w:rsidRPr="00454733">
        <w:rPr>
          <w:szCs w:val="24"/>
        </w:rPr>
        <w:t xml:space="preserve"> that,</w:t>
      </w:r>
      <w:r w:rsidR="008F04D6" w:rsidRPr="00454733">
        <w:rPr>
          <w:szCs w:val="24"/>
        </w:rPr>
        <w:t xml:space="preserve"> </w:t>
      </w:r>
      <w:r w:rsidR="007D11CF" w:rsidRPr="00454733">
        <w:rPr>
          <w:szCs w:val="24"/>
        </w:rPr>
        <w:t>“</w:t>
      </w:r>
      <w:r w:rsidR="00AD200E" w:rsidRPr="00454733">
        <w:rPr>
          <w:szCs w:val="24"/>
        </w:rPr>
        <w:t>[w]</w:t>
      </w:r>
      <w:r w:rsidR="00AD200E" w:rsidRPr="00454733">
        <w:rPr>
          <w:snapToGrid/>
          <w:szCs w:val="24"/>
        </w:rPr>
        <w:t>e do not…</w:t>
      </w:r>
      <w:r w:rsidR="008F04D6" w:rsidRPr="00454733">
        <w:rPr>
          <w:snapToGrid/>
          <w:szCs w:val="24"/>
        </w:rPr>
        <w:t>construe statutory phrases in isolation; we read statutes as a whole.</w:t>
      </w:r>
      <w:r w:rsidR="007D11CF" w:rsidRPr="00454733">
        <w:rPr>
          <w:snapToGrid/>
          <w:szCs w:val="24"/>
        </w:rPr>
        <w:t>”)</w:t>
      </w:r>
      <w:r>
        <w:rPr>
          <w:snapToGrid/>
          <w:szCs w:val="24"/>
        </w:rPr>
        <w:t>.  Also, another canon states</w:t>
      </w:r>
      <w:r w:rsidR="00AD200E" w:rsidRPr="00454733">
        <w:rPr>
          <w:snapToGrid/>
          <w:szCs w:val="24"/>
        </w:rPr>
        <w:t xml:space="preserve"> </w:t>
      </w:r>
      <w:r w:rsidR="006E1E62" w:rsidRPr="00454733">
        <w:rPr>
          <w:szCs w:val="24"/>
        </w:rPr>
        <w:t>that every word in a statute is meaningful (</w:t>
      </w:r>
      <w:r w:rsidR="00451A05" w:rsidRPr="00454733">
        <w:rPr>
          <w:i/>
          <w:snapToGrid/>
          <w:szCs w:val="24"/>
        </w:rPr>
        <w:t>Sprietsma v. Mercury Marine</w:t>
      </w:r>
      <w:r w:rsidR="00451A05" w:rsidRPr="00454733">
        <w:rPr>
          <w:snapToGrid/>
          <w:szCs w:val="24"/>
        </w:rPr>
        <w:t>, 537 U.S. 51, 63 (2003)</w:t>
      </w:r>
      <w:r>
        <w:rPr>
          <w:szCs w:val="24"/>
        </w:rPr>
        <w:t xml:space="preserve">).  Yet another states </w:t>
      </w:r>
      <w:r w:rsidR="006E1E62" w:rsidRPr="00454733">
        <w:rPr>
          <w:szCs w:val="24"/>
        </w:rPr>
        <w:t xml:space="preserve">that statutes </w:t>
      </w:r>
      <w:r w:rsidR="00077CD5" w:rsidRPr="00454733">
        <w:rPr>
          <w:szCs w:val="24"/>
        </w:rPr>
        <w:t>must be interpreted so as to be</w:t>
      </w:r>
      <w:r w:rsidR="006E1E62" w:rsidRPr="00454733">
        <w:rPr>
          <w:szCs w:val="24"/>
        </w:rPr>
        <w:t xml:space="preserve"> internally consistent (</w:t>
      </w:r>
      <w:r w:rsidR="008F04D6" w:rsidRPr="00454733">
        <w:rPr>
          <w:i/>
          <w:snapToGrid/>
          <w:szCs w:val="24"/>
        </w:rPr>
        <w:t>United States v. Boisdore's Heirs</w:t>
      </w:r>
      <w:r w:rsidR="008F04D6" w:rsidRPr="00454733">
        <w:rPr>
          <w:snapToGrid/>
          <w:szCs w:val="24"/>
        </w:rPr>
        <w:t>, 49 U.S. 113, 122(1850)</w:t>
      </w:r>
      <w:r w:rsidR="006E1E62" w:rsidRPr="00454733">
        <w:rPr>
          <w:szCs w:val="24"/>
        </w:rPr>
        <w:t>)</w:t>
      </w:r>
      <w:r>
        <w:rPr>
          <w:szCs w:val="24"/>
        </w:rPr>
        <w:t xml:space="preserve">.  A final canon states, </w:t>
      </w:r>
      <w:r w:rsidR="00BA491E" w:rsidRPr="00454733">
        <w:rPr>
          <w:szCs w:val="24"/>
        </w:rPr>
        <w:t>that redundancy</w:t>
      </w:r>
      <w:r w:rsidR="00077CD5" w:rsidRPr="00454733">
        <w:rPr>
          <w:szCs w:val="24"/>
        </w:rPr>
        <w:t xml:space="preserve"> within a statute</w:t>
      </w:r>
      <w:r w:rsidR="00BA491E" w:rsidRPr="00454733">
        <w:rPr>
          <w:szCs w:val="24"/>
        </w:rPr>
        <w:t xml:space="preserve"> is </w:t>
      </w:r>
      <w:r w:rsidR="00077CD5" w:rsidRPr="00454733">
        <w:rPr>
          <w:szCs w:val="24"/>
        </w:rPr>
        <w:t xml:space="preserve">to be </w:t>
      </w:r>
      <w:r w:rsidR="00BA491E" w:rsidRPr="00454733">
        <w:rPr>
          <w:szCs w:val="24"/>
        </w:rPr>
        <w:t>avoided (</w:t>
      </w:r>
      <w:r w:rsidR="00BA491E" w:rsidRPr="00454733">
        <w:rPr>
          <w:snapToGrid/>
          <w:szCs w:val="24"/>
        </w:rPr>
        <w:t>Bailey v. United States, 516 U.S. 137, 146 (1995))</w:t>
      </w:r>
      <w:r w:rsidR="006E1E62" w:rsidRPr="00454733">
        <w:rPr>
          <w:szCs w:val="24"/>
        </w:rPr>
        <w:t xml:space="preserve">. </w:t>
      </w:r>
      <w:r w:rsidR="007D11CF" w:rsidRPr="00454733">
        <w:rPr>
          <w:szCs w:val="24"/>
        </w:rPr>
        <w:t xml:space="preserve"> </w:t>
      </w:r>
      <w:r w:rsidR="00E67672" w:rsidRPr="00454733">
        <w:rPr>
          <w:szCs w:val="24"/>
        </w:rPr>
        <w:t xml:space="preserve">According to </w:t>
      </w:r>
      <w:r>
        <w:rPr>
          <w:szCs w:val="24"/>
        </w:rPr>
        <w:t>these</w:t>
      </w:r>
      <w:r w:rsidR="00E67672" w:rsidRPr="00454733">
        <w:rPr>
          <w:szCs w:val="24"/>
        </w:rPr>
        <w:t xml:space="preserve"> cannons</w:t>
      </w:r>
      <w:r w:rsidR="007D11CF" w:rsidRPr="00454733">
        <w:rPr>
          <w:szCs w:val="24"/>
        </w:rPr>
        <w:t xml:space="preserve">, when interpreting the definition of works made for hire </w:t>
      </w:r>
      <w:proofErr w:type="gramStart"/>
      <w:r w:rsidR="007D11CF" w:rsidRPr="00454733">
        <w:rPr>
          <w:szCs w:val="24"/>
        </w:rPr>
        <w:t>under</w:t>
      </w:r>
      <w:proofErr w:type="gramEnd"/>
      <w:r w:rsidR="007D11CF" w:rsidRPr="00454733">
        <w:rPr>
          <w:szCs w:val="24"/>
        </w:rPr>
        <w:t xml:space="preserve"> 17 U.S.C. § 101, the entire act must be considered.  </w:t>
      </w:r>
    </w:p>
    <w:p w14:paraId="15B76875" w14:textId="77777777" w:rsidR="006E1E62" w:rsidRDefault="00CD3D26" w:rsidP="00BC2F04">
      <w:pPr>
        <w:spacing w:after="240" w:line="480" w:lineRule="auto"/>
        <w:ind w:firstLine="720"/>
        <w:contextualSpacing/>
        <w:rPr>
          <w:szCs w:val="24"/>
        </w:rPr>
      </w:pPr>
      <w:r>
        <w:rPr>
          <w:szCs w:val="24"/>
        </w:rPr>
        <w:t>C</w:t>
      </w:r>
      <w:r w:rsidR="00AD1B67">
        <w:rPr>
          <w:szCs w:val="24"/>
        </w:rPr>
        <w:t xml:space="preserve">onsideration of </w:t>
      </w:r>
      <w:r w:rsidR="00AD1B67">
        <w:rPr>
          <w:snapToGrid/>
          <w:szCs w:val="24"/>
        </w:rPr>
        <w:t xml:space="preserve">17 U.S.C. as a whole reinforces the legislature’s </w:t>
      </w:r>
      <w:r w:rsidR="00DE20B2">
        <w:rPr>
          <w:snapToGrid/>
          <w:szCs w:val="24"/>
        </w:rPr>
        <w:t xml:space="preserve">intent to require </w:t>
      </w:r>
      <w:proofErr w:type="gramStart"/>
      <w:r w:rsidR="00DE20B2">
        <w:rPr>
          <w:snapToGrid/>
          <w:szCs w:val="24"/>
        </w:rPr>
        <w:t>a writing</w:t>
      </w:r>
      <w:proofErr w:type="gramEnd"/>
      <w:r w:rsidR="00DE20B2">
        <w:rPr>
          <w:snapToGrid/>
          <w:szCs w:val="24"/>
        </w:rPr>
        <w:t xml:space="preserve"> prior to creation</w:t>
      </w:r>
      <w:r w:rsidR="00C12532" w:rsidRPr="00454733">
        <w:rPr>
          <w:snapToGrid/>
          <w:szCs w:val="24"/>
        </w:rPr>
        <w:t xml:space="preserve">.  </w:t>
      </w:r>
      <w:r w:rsidR="00E67672" w:rsidRPr="00454733">
        <w:rPr>
          <w:szCs w:val="24"/>
        </w:rPr>
        <w:t xml:space="preserve">According to </w:t>
      </w:r>
      <w:r w:rsidR="007D11CF" w:rsidRPr="00454733">
        <w:rPr>
          <w:szCs w:val="24"/>
        </w:rPr>
        <w:t xml:space="preserve">17 U.S.C. § </w:t>
      </w:r>
      <w:r w:rsidR="00E67672" w:rsidRPr="00454733">
        <w:rPr>
          <w:szCs w:val="24"/>
        </w:rPr>
        <w:t xml:space="preserve">201, copyright vests initially in the authors of a work, and under § 204, rights may be fully transferred at any time after creation.  </w:t>
      </w:r>
      <w:proofErr w:type="gramStart"/>
      <w:r w:rsidR="00C12532" w:rsidRPr="00454733">
        <w:rPr>
          <w:snapToGrid/>
          <w:szCs w:val="24"/>
        </w:rPr>
        <w:t>17 U.S.C. § 201 (2006).</w:t>
      </w:r>
      <w:proofErr w:type="gramEnd"/>
      <w:r w:rsidR="00C12532" w:rsidRPr="00454733">
        <w:rPr>
          <w:snapToGrid/>
          <w:szCs w:val="24"/>
        </w:rPr>
        <w:t xml:space="preserve">  </w:t>
      </w:r>
      <w:proofErr w:type="gramStart"/>
      <w:r w:rsidR="00C12532" w:rsidRPr="00454733">
        <w:rPr>
          <w:snapToGrid/>
          <w:szCs w:val="24"/>
        </w:rPr>
        <w:t>17 U.S.C. § 204 (2006).</w:t>
      </w:r>
      <w:proofErr w:type="gramEnd"/>
      <w:r w:rsidR="00C12532" w:rsidRPr="00454733">
        <w:rPr>
          <w:snapToGrid/>
          <w:szCs w:val="24"/>
        </w:rPr>
        <w:t xml:space="preserve">  </w:t>
      </w:r>
      <w:r w:rsidR="00E43344">
        <w:rPr>
          <w:szCs w:val="24"/>
        </w:rPr>
        <w:t>When considering sections 201 and 204</w:t>
      </w:r>
      <w:r w:rsidR="00E67672" w:rsidRPr="00454733">
        <w:rPr>
          <w:szCs w:val="24"/>
        </w:rPr>
        <w:t xml:space="preserve">, the definition of work made for hire in § 101 </w:t>
      </w:r>
      <w:r w:rsidR="00E43344">
        <w:rPr>
          <w:szCs w:val="24"/>
        </w:rPr>
        <w:t>is</w:t>
      </w:r>
      <w:r w:rsidR="00E67672" w:rsidRPr="00454733">
        <w:rPr>
          <w:szCs w:val="24"/>
        </w:rPr>
        <w:t xml:space="preserve"> </w:t>
      </w:r>
      <w:r w:rsidR="004B4466">
        <w:rPr>
          <w:szCs w:val="24"/>
        </w:rPr>
        <w:t>both</w:t>
      </w:r>
      <w:r w:rsidR="00E67672" w:rsidRPr="00454733">
        <w:rPr>
          <w:szCs w:val="24"/>
        </w:rPr>
        <w:t xml:space="preserve"> </w:t>
      </w:r>
      <w:r w:rsidR="004B4466">
        <w:rPr>
          <w:szCs w:val="24"/>
        </w:rPr>
        <w:t>inconsistent and redundant.</w:t>
      </w:r>
      <w:r w:rsidR="00E43344">
        <w:rPr>
          <w:szCs w:val="24"/>
        </w:rPr>
        <w:t xml:space="preserve"> </w:t>
      </w:r>
      <w:r w:rsidR="00DE20B2">
        <w:rPr>
          <w:i/>
          <w:szCs w:val="24"/>
        </w:rPr>
        <w:t xml:space="preserve">  </w:t>
      </w:r>
      <w:r w:rsidR="00E67672" w:rsidRPr="00454733">
        <w:rPr>
          <w:szCs w:val="24"/>
        </w:rPr>
        <w:t xml:space="preserve">  </w:t>
      </w:r>
    </w:p>
    <w:p w14:paraId="382EFC90" w14:textId="77777777" w:rsidR="00E43344" w:rsidRPr="00E43344" w:rsidRDefault="00E43344" w:rsidP="00BC2F04">
      <w:pPr>
        <w:spacing w:after="240" w:line="480" w:lineRule="auto"/>
        <w:ind w:firstLine="720"/>
        <w:contextualSpacing/>
        <w:rPr>
          <w:szCs w:val="24"/>
        </w:rPr>
      </w:pPr>
      <w:r>
        <w:rPr>
          <w:szCs w:val="24"/>
        </w:rPr>
        <w:t xml:space="preserve">An interpretation of § 101 allowing a writing to be signed after creation of a work would render § 201 inconsistent with § 101.  </w:t>
      </w:r>
      <w:r w:rsidRPr="00454733">
        <w:rPr>
          <w:szCs w:val="24"/>
        </w:rPr>
        <w:t>§ 201 states that copyright “</w:t>
      </w:r>
      <w:r w:rsidRPr="00454733">
        <w:rPr>
          <w:snapToGrid/>
          <w:szCs w:val="24"/>
        </w:rPr>
        <w:t xml:space="preserve">vests initially in the author or authors of the work.”  </w:t>
      </w:r>
      <w:proofErr w:type="gramStart"/>
      <w:r w:rsidRPr="00454733">
        <w:rPr>
          <w:snapToGrid/>
          <w:szCs w:val="24"/>
        </w:rPr>
        <w:t>17 U.S.C. § 201 (2006).</w:t>
      </w:r>
      <w:proofErr w:type="gramEnd"/>
      <w:r w:rsidRPr="00454733">
        <w:rPr>
          <w:snapToGrid/>
          <w:szCs w:val="24"/>
        </w:rPr>
        <w:t xml:space="preserve">  The only way, then, that rights could be transferred would be a retroactive transfer of rights.  This would require reaching back to the time of creation and undoing this initial vesting of rights in the author.  This interpretation causes </w:t>
      </w:r>
      <w:r w:rsidRPr="00454733">
        <w:rPr>
          <w:snapToGrid/>
          <w:szCs w:val="24"/>
        </w:rPr>
        <w:lastRenderedPageBreak/>
        <w:t xml:space="preserve">conflict within 17 U.S.C.  </w:t>
      </w:r>
      <w:proofErr w:type="gramStart"/>
      <w:r w:rsidRPr="00454733">
        <w:rPr>
          <w:snapToGrid/>
          <w:szCs w:val="24"/>
        </w:rPr>
        <w:t>by</w:t>
      </w:r>
      <w:proofErr w:type="gramEnd"/>
      <w:r w:rsidRPr="00454733">
        <w:rPr>
          <w:snapToGrid/>
          <w:szCs w:val="24"/>
        </w:rPr>
        <w:t xml:space="preserve"> rendering § 101 and § 201 inconsistent.  </w:t>
      </w:r>
    </w:p>
    <w:p w14:paraId="7D9BF2A8" w14:textId="77777777" w:rsidR="00E43344" w:rsidRPr="00454733" w:rsidRDefault="00E43344" w:rsidP="00BC2F04">
      <w:pPr>
        <w:spacing w:after="240" w:line="480" w:lineRule="auto"/>
        <w:ind w:firstLine="720"/>
        <w:contextualSpacing/>
        <w:rPr>
          <w:szCs w:val="24"/>
        </w:rPr>
      </w:pPr>
      <w:r>
        <w:rPr>
          <w:szCs w:val="24"/>
        </w:rPr>
        <w:t xml:space="preserve">An interpretation of § 101 allowing a signed writing to be signed after creation of a work </w:t>
      </w:r>
      <w:r w:rsidR="00CD3D26">
        <w:rPr>
          <w:szCs w:val="24"/>
        </w:rPr>
        <w:t>would also</w:t>
      </w:r>
      <w:r>
        <w:rPr>
          <w:szCs w:val="24"/>
        </w:rPr>
        <w:t xml:space="preserve"> render § 204 redundant.  Rights</w:t>
      </w:r>
      <w:r w:rsidRPr="00454733">
        <w:rPr>
          <w:szCs w:val="24"/>
        </w:rPr>
        <w:t xml:space="preserve"> to a work made for hire are vested initially in the creators, and transferred upon </w:t>
      </w:r>
      <w:r w:rsidR="00CD3D26">
        <w:rPr>
          <w:szCs w:val="24"/>
        </w:rPr>
        <w:t xml:space="preserve">the </w:t>
      </w:r>
      <w:r w:rsidRPr="00454733">
        <w:rPr>
          <w:szCs w:val="24"/>
        </w:rPr>
        <w:t xml:space="preserve">signing of a written instrument.  § 204 of 17 U.S.C. addresses the post-creation transfer of a copyright.  </w:t>
      </w:r>
      <w:r w:rsidR="00CD3D26">
        <w:rPr>
          <w:szCs w:val="24"/>
        </w:rPr>
        <w:t xml:space="preserve">If </w:t>
      </w:r>
      <w:proofErr w:type="gramStart"/>
      <w:r w:rsidR="00CD3D26">
        <w:rPr>
          <w:szCs w:val="24"/>
        </w:rPr>
        <w:t>a writing</w:t>
      </w:r>
      <w:proofErr w:type="gramEnd"/>
      <w:r w:rsidR="00CD3D26">
        <w:rPr>
          <w:szCs w:val="24"/>
        </w:rPr>
        <w:t xml:space="preserve"> could be signed after creation,</w:t>
      </w:r>
      <w:r w:rsidR="004B4466">
        <w:rPr>
          <w:szCs w:val="24"/>
        </w:rPr>
        <w:t xml:space="preserve"> a transfer provision</w:t>
      </w:r>
      <w:r w:rsidR="00CD3D26">
        <w:rPr>
          <w:szCs w:val="24"/>
        </w:rPr>
        <w:t xml:space="preserve"> would be</w:t>
      </w:r>
      <w:r w:rsidRPr="00454733">
        <w:rPr>
          <w:szCs w:val="24"/>
        </w:rPr>
        <w:t xml:space="preserve"> redundant as it </w:t>
      </w:r>
      <w:r w:rsidR="00CD3D26">
        <w:rPr>
          <w:szCs w:val="24"/>
        </w:rPr>
        <w:t>would simply provide</w:t>
      </w:r>
      <w:r w:rsidRPr="00454733">
        <w:rPr>
          <w:szCs w:val="24"/>
        </w:rPr>
        <w:t xml:space="preserve"> a di</w:t>
      </w:r>
      <w:r w:rsidR="004B4466">
        <w:rPr>
          <w:szCs w:val="24"/>
        </w:rPr>
        <w:t xml:space="preserve">fferent means to the same end. </w:t>
      </w:r>
    </w:p>
    <w:p w14:paraId="62B908C5" w14:textId="77777777" w:rsidR="00F5100B" w:rsidRPr="00454733" w:rsidRDefault="00AD1D2B" w:rsidP="00BC2F04">
      <w:pPr>
        <w:spacing w:after="240" w:line="480" w:lineRule="auto"/>
        <w:ind w:firstLine="720"/>
        <w:contextualSpacing/>
        <w:rPr>
          <w:szCs w:val="24"/>
        </w:rPr>
      </w:pPr>
      <w:r w:rsidRPr="00454733">
        <w:rPr>
          <w:szCs w:val="24"/>
        </w:rPr>
        <w:t xml:space="preserve">Ms. </w:t>
      </w:r>
      <w:r w:rsidR="00170376" w:rsidRPr="00454733">
        <w:rPr>
          <w:szCs w:val="24"/>
        </w:rPr>
        <w:t>Lime and OGS had</w:t>
      </w:r>
      <w:r w:rsidR="004B4466">
        <w:rPr>
          <w:szCs w:val="24"/>
        </w:rPr>
        <w:t xml:space="preserve"> not</w:t>
      </w:r>
      <w:r w:rsidR="00170376" w:rsidRPr="00454733">
        <w:rPr>
          <w:szCs w:val="24"/>
        </w:rPr>
        <w:t xml:space="preserve"> </w:t>
      </w:r>
      <w:r w:rsidR="004B4466">
        <w:rPr>
          <w:szCs w:val="24"/>
        </w:rPr>
        <w:t xml:space="preserve">“expressly </w:t>
      </w:r>
      <w:proofErr w:type="gramStart"/>
      <w:r w:rsidR="004B4466">
        <w:rPr>
          <w:szCs w:val="24"/>
        </w:rPr>
        <w:t>agree[</w:t>
      </w:r>
      <w:proofErr w:type="gramEnd"/>
      <w:r w:rsidR="004B4466">
        <w:rPr>
          <w:szCs w:val="24"/>
        </w:rPr>
        <w:t>d] in a written</w:t>
      </w:r>
      <w:r w:rsidR="00170376" w:rsidRPr="00454733">
        <w:rPr>
          <w:szCs w:val="24"/>
        </w:rPr>
        <w:t xml:space="preserve"> instrument</w:t>
      </w:r>
      <w:r w:rsidR="004B4466">
        <w:rPr>
          <w:szCs w:val="24"/>
        </w:rPr>
        <w:t>”</w:t>
      </w:r>
      <w:r w:rsidR="00170376" w:rsidRPr="00454733">
        <w:rPr>
          <w:szCs w:val="24"/>
        </w:rPr>
        <w:t xml:space="preserve"> at the time Ms. Lime wrote the screenplay</w:t>
      </w:r>
      <w:r w:rsidR="00CD3D26">
        <w:rPr>
          <w:szCs w:val="24"/>
        </w:rPr>
        <w:t xml:space="preserve"> and, t</w:t>
      </w:r>
      <w:r w:rsidR="00CD3D26" w:rsidRPr="00454733">
        <w:rPr>
          <w:szCs w:val="24"/>
        </w:rPr>
        <w:t>he rights to “Anticipatory Repudiat</w:t>
      </w:r>
      <w:r w:rsidR="00CD3D26">
        <w:rPr>
          <w:szCs w:val="24"/>
        </w:rPr>
        <w:t>ion” were never vested in OGS</w:t>
      </w:r>
      <w:r w:rsidR="00170376" w:rsidRPr="00454733">
        <w:rPr>
          <w:szCs w:val="24"/>
        </w:rPr>
        <w:t xml:space="preserve">. </w:t>
      </w:r>
      <w:r w:rsidR="00BC2F04">
        <w:rPr>
          <w:szCs w:val="24"/>
        </w:rPr>
        <w:t xml:space="preserve"> </w:t>
      </w:r>
      <w:proofErr w:type="gramStart"/>
      <w:r w:rsidR="00BC2F04">
        <w:rPr>
          <w:szCs w:val="24"/>
        </w:rPr>
        <w:t>17 U.S.C. § 101 (2006).</w:t>
      </w:r>
      <w:proofErr w:type="gramEnd"/>
      <w:r w:rsidR="00BC2F04">
        <w:rPr>
          <w:szCs w:val="24"/>
        </w:rPr>
        <w:t xml:space="preserve">  </w:t>
      </w:r>
      <w:r w:rsidR="00CD3D26">
        <w:rPr>
          <w:szCs w:val="24"/>
        </w:rPr>
        <w:t xml:space="preserve">A valid interpretation of § 101 requires </w:t>
      </w:r>
      <w:proofErr w:type="gramStart"/>
      <w:r w:rsidR="00CD3D26">
        <w:rPr>
          <w:szCs w:val="24"/>
        </w:rPr>
        <w:t>a writing</w:t>
      </w:r>
      <w:proofErr w:type="gramEnd"/>
      <w:r w:rsidR="00CD3D26">
        <w:rPr>
          <w:szCs w:val="24"/>
        </w:rPr>
        <w:t xml:space="preserve"> signed prior to creation in order for 17 U.S.C. to be interpreted consistently and without redundancy.  Ms. Lime and TinyTV’s asserted construction of § 101 meets this requirement.  </w:t>
      </w:r>
      <w:r w:rsidR="007B20EF" w:rsidRPr="00454733">
        <w:rPr>
          <w:szCs w:val="24"/>
        </w:rPr>
        <w:t>OGS</w:t>
      </w:r>
      <w:r w:rsidR="00170376" w:rsidRPr="00454733">
        <w:rPr>
          <w:szCs w:val="24"/>
        </w:rPr>
        <w:t xml:space="preserve">’s assertion that the subsequent agreement signed by both parties is sufficient to have transferred rights requires an understanding of 17 U.S.C. § 101 that </w:t>
      </w:r>
      <w:r w:rsidR="004B4466">
        <w:rPr>
          <w:szCs w:val="24"/>
        </w:rPr>
        <w:t>is both</w:t>
      </w:r>
      <w:r w:rsidR="00170376" w:rsidRPr="00454733">
        <w:rPr>
          <w:szCs w:val="24"/>
        </w:rPr>
        <w:t xml:space="preserve"> </w:t>
      </w:r>
      <w:r w:rsidR="004B4466">
        <w:rPr>
          <w:szCs w:val="24"/>
        </w:rPr>
        <w:t>inconsistent and redundant</w:t>
      </w:r>
      <w:r w:rsidR="00170376" w:rsidRPr="00454733">
        <w:rPr>
          <w:szCs w:val="24"/>
        </w:rPr>
        <w:t xml:space="preserve">.  </w:t>
      </w:r>
      <w:r w:rsidR="00A71F0D" w:rsidRPr="00454733">
        <w:rPr>
          <w:szCs w:val="24"/>
        </w:rPr>
        <w:t>According to</w:t>
      </w:r>
      <w:r w:rsidR="00CD3D26">
        <w:rPr>
          <w:szCs w:val="24"/>
        </w:rPr>
        <w:t xml:space="preserve"> Ms. Lime and TinyTV’s</w:t>
      </w:r>
      <w:r w:rsidR="00A71F0D" w:rsidRPr="00454733">
        <w:rPr>
          <w:szCs w:val="24"/>
        </w:rPr>
        <w:t xml:space="preserve"> interpretation, Ms. Lime holds the copyrig</w:t>
      </w:r>
      <w:r w:rsidR="004B4466">
        <w:rPr>
          <w:szCs w:val="24"/>
        </w:rPr>
        <w:t>ht to “Anticipatory Repudiation,</w:t>
      </w:r>
      <w:r w:rsidR="00A71F0D" w:rsidRPr="00454733">
        <w:rPr>
          <w:szCs w:val="24"/>
        </w:rPr>
        <w:t>”</w:t>
      </w:r>
      <w:r w:rsidR="004B4466">
        <w:rPr>
          <w:szCs w:val="24"/>
        </w:rPr>
        <w:t xml:space="preserve"> and Ms. Lime and TinyTV’s motion should be granted.</w:t>
      </w:r>
      <w:r w:rsidR="00A71F0D" w:rsidRPr="00454733">
        <w:rPr>
          <w:szCs w:val="24"/>
        </w:rPr>
        <w:t xml:space="preserve">  </w:t>
      </w:r>
    </w:p>
    <w:p w14:paraId="6F926393" w14:textId="77777777" w:rsidR="00BC2F04" w:rsidRDefault="006B1939" w:rsidP="00BC2F04">
      <w:pPr>
        <w:spacing w:after="240" w:line="480" w:lineRule="auto"/>
        <w:ind w:firstLine="720"/>
        <w:contextualSpacing/>
        <w:rPr>
          <w:snapToGrid/>
          <w:szCs w:val="24"/>
        </w:rPr>
      </w:pPr>
      <w:r w:rsidRPr="00454733">
        <w:rPr>
          <w:snapToGrid/>
          <w:szCs w:val="24"/>
        </w:rPr>
        <w:t>The</w:t>
      </w:r>
      <w:r w:rsidR="009A5B7C" w:rsidRPr="00454733">
        <w:rPr>
          <w:snapToGrid/>
          <w:szCs w:val="24"/>
        </w:rPr>
        <w:t>re is</w:t>
      </w:r>
      <w:r w:rsidRPr="00454733">
        <w:rPr>
          <w:snapToGrid/>
          <w:szCs w:val="24"/>
        </w:rPr>
        <w:t xml:space="preserve"> only </w:t>
      </w:r>
      <w:r w:rsidR="009A5B7C" w:rsidRPr="00454733">
        <w:rPr>
          <w:snapToGrid/>
          <w:szCs w:val="24"/>
        </w:rPr>
        <w:t xml:space="preserve">one </w:t>
      </w:r>
      <w:r w:rsidRPr="00454733">
        <w:rPr>
          <w:snapToGrid/>
          <w:szCs w:val="24"/>
        </w:rPr>
        <w:t xml:space="preserve">interpretation of 17 U.S.C. § </w:t>
      </w:r>
      <w:proofErr w:type="gramStart"/>
      <w:r w:rsidRPr="00454733">
        <w:rPr>
          <w:snapToGrid/>
          <w:szCs w:val="24"/>
        </w:rPr>
        <w:t>101 which</w:t>
      </w:r>
      <w:proofErr w:type="gramEnd"/>
      <w:r w:rsidRPr="00454733">
        <w:rPr>
          <w:snapToGrid/>
          <w:szCs w:val="24"/>
        </w:rPr>
        <w:t xml:space="preserve"> allows for consistency within the statute</w:t>
      </w:r>
      <w:r w:rsidR="00847330">
        <w:rPr>
          <w:snapToGrid/>
          <w:szCs w:val="24"/>
        </w:rPr>
        <w:t>, Ms. Lime and TinyTV’s asserted interpretation</w:t>
      </w:r>
      <w:r w:rsidRPr="00454733">
        <w:rPr>
          <w:snapToGrid/>
          <w:szCs w:val="24"/>
        </w:rPr>
        <w:t>.  This interpretation holds that a written instrument must be signed prior to creation of a work made for hire.  Ms. Lime’s screenplay, “Anticipatory Repudiation” was not created under such a written agreement, so according to the relevant canons of statutory interpretation, copyright was never vested in OGS</w:t>
      </w:r>
      <w:r w:rsidR="00847330">
        <w:rPr>
          <w:snapToGrid/>
          <w:szCs w:val="24"/>
        </w:rPr>
        <w:t>, and OGS’s claims must fail</w:t>
      </w:r>
      <w:r w:rsidRPr="00454733">
        <w:rPr>
          <w:snapToGrid/>
          <w:szCs w:val="24"/>
        </w:rPr>
        <w:t xml:space="preserve">.  </w:t>
      </w:r>
    </w:p>
    <w:p w14:paraId="5E0301D3" w14:textId="77777777" w:rsidR="0081449E" w:rsidRDefault="0081449E" w:rsidP="00BC2F04">
      <w:pPr>
        <w:spacing w:after="240" w:line="480" w:lineRule="auto"/>
        <w:ind w:firstLine="720"/>
        <w:contextualSpacing/>
        <w:rPr>
          <w:snapToGrid/>
          <w:szCs w:val="24"/>
        </w:rPr>
      </w:pPr>
    </w:p>
    <w:p w14:paraId="3469EC92" w14:textId="77777777" w:rsidR="0081449E" w:rsidRPr="00454733" w:rsidRDefault="0081449E" w:rsidP="00BC2F04">
      <w:pPr>
        <w:spacing w:after="240" w:line="480" w:lineRule="auto"/>
        <w:ind w:firstLine="720"/>
        <w:contextualSpacing/>
        <w:rPr>
          <w:snapToGrid/>
          <w:szCs w:val="24"/>
        </w:rPr>
      </w:pPr>
    </w:p>
    <w:p w14:paraId="5EA56C9D" w14:textId="77777777" w:rsidR="006B1939" w:rsidRPr="00264112" w:rsidRDefault="006B1939" w:rsidP="00BC2F04">
      <w:pPr>
        <w:pStyle w:val="ListParagraph"/>
        <w:numPr>
          <w:ilvl w:val="0"/>
          <w:numId w:val="4"/>
        </w:numPr>
        <w:spacing w:line="480" w:lineRule="auto"/>
        <w:rPr>
          <w:b/>
          <w:szCs w:val="24"/>
        </w:rPr>
      </w:pPr>
      <w:r w:rsidRPr="00264112">
        <w:rPr>
          <w:b/>
          <w:szCs w:val="24"/>
        </w:rPr>
        <w:lastRenderedPageBreak/>
        <w:t xml:space="preserve">The </w:t>
      </w:r>
      <w:r w:rsidR="00847330" w:rsidRPr="00264112">
        <w:rPr>
          <w:b/>
          <w:szCs w:val="24"/>
        </w:rPr>
        <w:t>legislative history of the Copyright Act of 1976 demonstrates Congress’ desire to protect independent authors and clarify ownership of works by requiring a signed writing prior to creation.</w:t>
      </w:r>
    </w:p>
    <w:p w14:paraId="0B449922" w14:textId="77777777" w:rsidR="00F62DDF" w:rsidRPr="00454733" w:rsidRDefault="00BC6022" w:rsidP="00BC2F04">
      <w:pPr>
        <w:widowControl/>
        <w:spacing w:line="480" w:lineRule="auto"/>
        <w:ind w:firstLine="720"/>
        <w:contextualSpacing/>
        <w:rPr>
          <w:szCs w:val="24"/>
        </w:rPr>
      </w:pPr>
      <w:r w:rsidRPr="00454733">
        <w:rPr>
          <w:szCs w:val="24"/>
        </w:rPr>
        <w:t xml:space="preserve">The legislative history behind 17 U.S.C. § 101 </w:t>
      </w:r>
      <w:r w:rsidR="00BC2F04">
        <w:rPr>
          <w:szCs w:val="24"/>
        </w:rPr>
        <w:t>aligns with</w:t>
      </w:r>
      <w:r w:rsidRPr="00454733">
        <w:rPr>
          <w:szCs w:val="24"/>
        </w:rPr>
        <w:t xml:space="preserve"> Ms. Lime and TinyTV’s assertion that a work made for hire agreement must be signed prior to creation.  The scope of </w:t>
      </w:r>
      <w:r w:rsidR="00C12532" w:rsidRPr="00454733">
        <w:rPr>
          <w:szCs w:val="24"/>
        </w:rPr>
        <w:t xml:space="preserve">the </w:t>
      </w:r>
      <w:r w:rsidR="007B20EF" w:rsidRPr="00454733">
        <w:rPr>
          <w:szCs w:val="24"/>
        </w:rPr>
        <w:t xml:space="preserve">work made for hire </w:t>
      </w:r>
      <w:r w:rsidR="00C12532" w:rsidRPr="00454733">
        <w:rPr>
          <w:szCs w:val="24"/>
        </w:rPr>
        <w:t xml:space="preserve">doctrine </w:t>
      </w:r>
      <w:r w:rsidR="007B20EF" w:rsidRPr="00454733">
        <w:rPr>
          <w:szCs w:val="24"/>
        </w:rPr>
        <w:t>was</w:t>
      </w:r>
      <w:r w:rsidRPr="00454733">
        <w:rPr>
          <w:szCs w:val="24"/>
        </w:rPr>
        <w:t xml:space="preserve"> </w:t>
      </w:r>
      <w:r w:rsidR="00F62DDF" w:rsidRPr="00454733">
        <w:rPr>
          <w:szCs w:val="24"/>
        </w:rPr>
        <w:t>narrowed</w:t>
      </w:r>
      <w:r w:rsidR="00847330">
        <w:rPr>
          <w:szCs w:val="24"/>
        </w:rPr>
        <w:t xml:space="preserve"> between 1909, when the Act was first created, </w:t>
      </w:r>
      <w:r w:rsidRPr="00454733">
        <w:rPr>
          <w:szCs w:val="24"/>
        </w:rPr>
        <w:t xml:space="preserve">and </w:t>
      </w:r>
      <w:r w:rsidR="00847330">
        <w:rPr>
          <w:szCs w:val="24"/>
        </w:rPr>
        <w:t>1976, when revisions to the 1909 Act took effect.  The 1976 Act is still in effect today</w:t>
      </w:r>
      <w:r w:rsidRPr="00454733">
        <w:rPr>
          <w:szCs w:val="24"/>
        </w:rPr>
        <w:t xml:space="preserve">.  An understanding of the </w:t>
      </w:r>
      <w:r w:rsidR="003A73DF" w:rsidRPr="00454733">
        <w:rPr>
          <w:szCs w:val="24"/>
        </w:rPr>
        <w:t>process undergone</w:t>
      </w:r>
      <w:r w:rsidRPr="00454733">
        <w:rPr>
          <w:szCs w:val="24"/>
        </w:rPr>
        <w:t xml:space="preserve"> by the legislature in the </w:t>
      </w:r>
      <w:proofErr w:type="gramStart"/>
      <w:r w:rsidRPr="00454733">
        <w:rPr>
          <w:szCs w:val="24"/>
        </w:rPr>
        <w:t>years which elapsed between those acts</w:t>
      </w:r>
      <w:proofErr w:type="gramEnd"/>
      <w:r w:rsidRPr="00454733">
        <w:rPr>
          <w:szCs w:val="24"/>
        </w:rPr>
        <w:t xml:space="preserve"> sheds light on </w:t>
      </w:r>
      <w:r w:rsidR="007B20EF" w:rsidRPr="00454733">
        <w:rPr>
          <w:szCs w:val="24"/>
        </w:rPr>
        <w:t>their intent</w:t>
      </w:r>
      <w:r w:rsidR="00BC2F04">
        <w:rPr>
          <w:szCs w:val="24"/>
        </w:rPr>
        <w:t xml:space="preserve"> in revising the statute.</w:t>
      </w:r>
    </w:p>
    <w:p w14:paraId="61B35583" w14:textId="77777777" w:rsidR="009A5B7C" w:rsidRPr="00454733" w:rsidRDefault="009A5B7C" w:rsidP="00BC2F04">
      <w:pPr>
        <w:pStyle w:val="ListParagraph"/>
        <w:widowControl/>
        <w:numPr>
          <w:ilvl w:val="1"/>
          <w:numId w:val="4"/>
        </w:numPr>
        <w:spacing w:line="480" w:lineRule="auto"/>
        <w:rPr>
          <w:snapToGrid/>
          <w:szCs w:val="24"/>
        </w:rPr>
      </w:pPr>
      <w:r w:rsidRPr="00454733">
        <w:rPr>
          <w:b/>
          <w:szCs w:val="24"/>
        </w:rPr>
        <w:t xml:space="preserve">Congress </w:t>
      </w:r>
      <w:r w:rsidR="00BC2F04">
        <w:rPr>
          <w:b/>
          <w:szCs w:val="24"/>
        </w:rPr>
        <w:t>i</w:t>
      </w:r>
      <w:r w:rsidRPr="00454733">
        <w:rPr>
          <w:b/>
          <w:szCs w:val="24"/>
        </w:rPr>
        <w:t>ntended for the Copyright Act of 1976</w:t>
      </w:r>
      <w:r w:rsidR="00BC2F04">
        <w:rPr>
          <w:b/>
          <w:szCs w:val="24"/>
        </w:rPr>
        <w:t xml:space="preserve"> to protect independent authors, and only a pre-creation signed writing meets this requirement.</w:t>
      </w:r>
    </w:p>
    <w:p w14:paraId="37E46A37" w14:textId="77777777" w:rsidR="00264112" w:rsidRDefault="0064393E" w:rsidP="00BC2F04">
      <w:pPr>
        <w:widowControl/>
        <w:spacing w:line="480" w:lineRule="auto"/>
        <w:ind w:firstLine="720"/>
        <w:contextualSpacing/>
        <w:rPr>
          <w:szCs w:val="24"/>
        </w:rPr>
      </w:pPr>
      <w:r w:rsidRPr="00454733">
        <w:rPr>
          <w:szCs w:val="24"/>
        </w:rPr>
        <w:t xml:space="preserve">The legislative history behind the Copyright Act of 1976 demonstrates Congress’ desire to protect independent authors and clarify the </w:t>
      </w:r>
      <w:r w:rsidR="00264112">
        <w:rPr>
          <w:szCs w:val="24"/>
        </w:rPr>
        <w:t xml:space="preserve">matter of ownership of a work.  </w:t>
      </w:r>
      <w:r w:rsidRPr="00454733">
        <w:rPr>
          <w:szCs w:val="24"/>
        </w:rPr>
        <w:t>In a m</w:t>
      </w:r>
      <w:r w:rsidR="00371E84">
        <w:rPr>
          <w:szCs w:val="24"/>
        </w:rPr>
        <w:t>eeting on the</w:t>
      </w:r>
      <w:r w:rsidRPr="00454733">
        <w:rPr>
          <w:szCs w:val="24"/>
        </w:rPr>
        <w:t xml:space="preserve"> draft of the Act, </w:t>
      </w:r>
      <w:r w:rsidR="00264112">
        <w:rPr>
          <w:szCs w:val="24"/>
        </w:rPr>
        <w:t>the Register of Copyrights, Barbara</w:t>
      </w:r>
      <w:r w:rsidRPr="00454733">
        <w:rPr>
          <w:szCs w:val="24"/>
        </w:rPr>
        <w:t xml:space="preserve"> Ringer said</w:t>
      </w:r>
      <w:r w:rsidR="00F62DDF" w:rsidRPr="00454733">
        <w:rPr>
          <w:szCs w:val="24"/>
        </w:rPr>
        <w:t xml:space="preserve"> of a work made for hire</w:t>
      </w:r>
      <w:r w:rsidRPr="00454733">
        <w:rPr>
          <w:szCs w:val="24"/>
        </w:rPr>
        <w:t>, “… it has to be a ‘work prepared on special order or commission’ in the first place.  It would not be considered a ‘work made for hire’ if the contract were signed later on…</w:t>
      </w:r>
      <w:proofErr w:type="gramStart"/>
      <w:r w:rsidRPr="00454733">
        <w:rPr>
          <w:szCs w:val="24"/>
        </w:rPr>
        <w:t>”</w:t>
      </w:r>
      <w:r w:rsidR="00BC6022" w:rsidRPr="00454733">
        <w:rPr>
          <w:szCs w:val="24"/>
        </w:rPr>
        <w:t xml:space="preserve">  </w:t>
      </w:r>
      <w:proofErr w:type="gramEnd"/>
      <w:r w:rsidR="00264112" w:rsidRPr="00454733">
        <w:rPr>
          <w:i/>
          <w:szCs w:val="24"/>
        </w:rPr>
        <w:t xml:space="preserve">Copyright Law Revision Part Five 1964 Revision Bill with Discussions and Comments: Printed for the use of the H. Comm. </w:t>
      </w:r>
      <w:proofErr w:type="gramStart"/>
      <w:r w:rsidR="00264112" w:rsidRPr="00454733">
        <w:rPr>
          <w:i/>
          <w:szCs w:val="24"/>
        </w:rPr>
        <w:t>On the Judiciary</w:t>
      </w:r>
      <w:r w:rsidR="00264112" w:rsidRPr="00454733">
        <w:rPr>
          <w:szCs w:val="24"/>
        </w:rPr>
        <w:t>, 88th Congress.</w:t>
      </w:r>
      <w:proofErr w:type="gramEnd"/>
      <w:r w:rsidR="00264112" w:rsidRPr="00454733">
        <w:rPr>
          <w:szCs w:val="24"/>
        </w:rPr>
        <w:t xml:space="preserve">  </w:t>
      </w:r>
      <w:proofErr w:type="gramStart"/>
      <w:r w:rsidR="00264112" w:rsidRPr="00454733">
        <w:rPr>
          <w:szCs w:val="24"/>
        </w:rPr>
        <w:t>145 (196</w:t>
      </w:r>
      <w:r w:rsidR="00FD3AB6">
        <w:rPr>
          <w:szCs w:val="24"/>
        </w:rPr>
        <w:t>5</w:t>
      </w:r>
      <w:r w:rsidR="00264112" w:rsidRPr="00454733">
        <w:rPr>
          <w:szCs w:val="24"/>
        </w:rPr>
        <w:t>)</w:t>
      </w:r>
      <w:r w:rsidRPr="00454733">
        <w:rPr>
          <w:szCs w:val="24"/>
        </w:rPr>
        <w:t>.</w:t>
      </w:r>
      <w:proofErr w:type="gramEnd"/>
      <w:r w:rsidRPr="00454733">
        <w:rPr>
          <w:szCs w:val="24"/>
        </w:rPr>
        <w:t xml:space="preserve">  </w:t>
      </w:r>
      <w:r w:rsidR="00F62DDF" w:rsidRPr="00454733">
        <w:rPr>
          <w:szCs w:val="24"/>
        </w:rPr>
        <w:t xml:space="preserve">This statement indicates the legislature’s intent to not only narrow the scope of a work made for hire, but to do so </w:t>
      </w:r>
      <w:r w:rsidR="00264112">
        <w:rPr>
          <w:szCs w:val="24"/>
        </w:rPr>
        <w:t xml:space="preserve">in part by requiring </w:t>
      </w:r>
      <w:proofErr w:type="gramStart"/>
      <w:r w:rsidR="00264112">
        <w:rPr>
          <w:szCs w:val="24"/>
        </w:rPr>
        <w:t>a writing</w:t>
      </w:r>
      <w:proofErr w:type="gramEnd"/>
      <w:r w:rsidR="00264112">
        <w:rPr>
          <w:szCs w:val="24"/>
        </w:rPr>
        <w:t xml:space="preserve"> signed before creation</w:t>
      </w:r>
      <w:r w:rsidR="00F62DDF" w:rsidRPr="00454733">
        <w:rPr>
          <w:szCs w:val="24"/>
        </w:rPr>
        <w:t xml:space="preserve">.  </w:t>
      </w:r>
      <w:r w:rsidR="006E1786">
        <w:rPr>
          <w:szCs w:val="24"/>
        </w:rPr>
        <w:t>The legislature</w:t>
      </w:r>
      <w:r w:rsidR="00264112">
        <w:rPr>
          <w:szCs w:val="24"/>
        </w:rPr>
        <w:t xml:space="preserve"> intended </w:t>
      </w:r>
      <w:r w:rsidR="00264112" w:rsidRPr="00454733">
        <w:rPr>
          <w:szCs w:val="24"/>
        </w:rPr>
        <w:t>that work for hire agreements be signed prior to creation in order to protect the rights of the creator.</w:t>
      </w:r>
      <w:r w:rsidR="00264112">
        <w:rPr>
          <w:szCs w:val="24"/>
        </w:rPr>
        <w:t xml:space="preserve"> </w:t>
      </w:r>
      <w:r w:rsidR="00264112" w:rsidRPr="00454733">
        <w:rPr>
          <w:szCs w:val="24"/>
        </w:rPr>
        <w:t xml:space="preserve"> </w:t>
      </w:r>
      <w:r w:rsidR="00264112" w:rsidRPr="00264112">
        <w:rPr>
          <w:i/>
          <w:szCs w:val="24"/>
        </w:rPr>
        <w:t>Id</w:t>
      </w:r>
      <w:r w:rsidR="00264112">
        <w:rPr>
          <w:szCs w:val="24"/>
        </w:rPr>
        <w:t xml:space="preserve">.  </w:t>
      </w:r>
    </w:p>
    <w:p w14:paraId="50CBA1D6" w14:textId="77777777" w:rsidR="00264112" w:rsidRDefault="00EB38D7" w:rsidP="00BC2F04">
      <w:pPr>
        <w:widowControl/>
        <w:spacing w:line="480" w:lineRule="auto"/>
        <w:ind w:firstLine="720"/>
        <w:contextualSpacing/>
        <w:rPr>
          <w:szCs w:val="24"/>
        </w:rPr>
      </w:pPr>
      <w:r w:rsidRPr="00454733">
        <w:rPr>
          <w:szCs w:val="24"/>
        </w:rPr>
        <w:t>The preliminary draft of the 1976 Copyright Act failed to include a subsection regarding commissioned works</w:t>
      </w:r>
      <w:r w:rsidRPr="00454733">
        <w:rPr>
          <w:i/>
          <w:szCs w:val="24"/>
        </w:rPr>
        <w:t>.  Preliminary Draft</w:t>
      </w:r>
      <w:r w:rsidRPr="00454733">
        <w:rPr>
          <w:szCs w:val="24"/>
        </w:rPr>
        <w:t xml:space="preserve">, supra note 88, at 15 n.11.  Only when publishing </w:t>
      </w:r>
      <w:r w:rsidRPr="00454733">
        <w:rPr>
          <w:szCs w:val="24"/>
        </w:rPr>
        <w:lastRenderedPageBreak/>
        <w:t>companies reacted</w:t>
      </w:r>
      <w:r w:rsidR="00264112">
        <w:rPr>
          <w:szCs w:val="24"/>
        </w:rPr>
        <w:t xml:space="preserve"> to</w:t>
      </w:r>
      <w:r w:rsidRPr="00454733">
        <w:rPr>
          <w:szCs w:val="24"/>
        </w:rPr>
        <w:t xml:space="preserve"> </w:t>
      </w:r>
      <w:r w:rsidR="00264112">
        <w:rPr>
          <w:szCs w:val="24"/>
        </w:rPr>
        <w:t xml:space="preserve">the failure to </w:t>
      </w:r>
      <w:r w:rsidR="005E30B1">
        <w:rPr>
          <w:szCs w:val="24"/>
        </w:rPr>
        <w:t xml:space="preserve">address </w:t>
      </w:r>
      <w:r w:rsidR="00264112">
        <w:rPr>
          <w:szCs w:val="24"/>
        </w:rPr>
        <w:t>commissioned works</w:t>
      </w:r>
      <w:r w:rsidRPr="00454733">
        <w:rPr>
          <w:szCs w:val="24"/>
        </w:rPr>
        <w:t xml:space="preserve"> did the legislature </w:t>
      </w:r>
      <w:r w:rsidR="005E30B1">
        <w:rPr>
          <w:szCs w:val="24"/>
        </w:rPr>
        <w:t>include</w:t>
      </w:r>
      <w:r w:rsidRPr="00454733">
        <w:rPr>
          <w:szCs w:val="24"/>
        </w:rPr>
        <w:t xml:space="preserve"> commissioned works in the definition of works made for hire.  </w:t>
      </w:r>
      <w:r w:rsidRPr="00454733">
        <w:rPr>
          <w:snapToGrid/>
          <w:szCs w:val="24"/>
        </w:rPr>
        <w:t xml:space="preserve">H.R. Rep. No. 2237, supra </w:t>
      </w:r>
      <w:proofErr w:type="gramStart"/>
      <w:r w:rsidRPr="00454733">
        <w:rPr>
          <w:snapToGrid/>
          <w:szCs w:val="24"/>
        </w:rPr>
        <w:t>note</w:t>
      </w:r>
      <w:proofErr w:type="gramEnd"/>
      <w:r w:rsidRPr="00454733">
        <w:rPr>
          <w:snapToGrid/>
          <w:szCs w:val="24"/>
        </w:rPr>
        <w:t xml:space="preserve"> 76, at 115.  </w:t>
      </w:r>
      <w:r w:rsidR="00951940">
        <w:rPr>
          <w:snapToGrid/>
          <w:szCs w:val="24"/>
        </w:rPr>
        <w:t>Congress did not</w:t>
      </w:r>
      <w:r w:rsidR="006E1786">
        <w:rPr>
          <w:snapToGrid/>
          <w:szCs w:val="24"/>
        </w:rPr>
        <w:t xml:space="preserve"> even</w:t>
      </w:r>
      <w:r w:rsidR="00951940">
        <w:rPr>
          <w:snapToGrid/>
          <w:szCs w:val="24"/>
        </w:rPr>
        <w:t xml:space="preserve"> see the need to address commissioned works initially</w:t>
      </w:r>
      <w:r w:rsidR="006E1786">
        <w:rPr>
          <w:snapToGrid/>
          <w:szCs w:val="24"/>
        </w:rPr>
        <w:t>,</w:t>
      </w:r>
      <w:r w:rsidR="00951940">
        <w:rPr>
          <w:snapToGrid/>
          <w:szCs w:val="24"/>
        </w:rPr>
        <w:t xml:space="preserve"> because they intended that the creator of a work should be considered its author.  </w:t>
      </w:r>
      <w:r w:rsidRPr="00454733">
        <w:rPr>
          <w:snapToGrid/>
          <w:szCs w:val="24"/>
        </w:rPr>
        <w:t xml:space="preserve">Robert Penchina, </w:t>
      </w:r>
      <w:r w:rsidRPr="00454733">
        <w:rPr>
          <w:i/>
          <w:snapToGrid/>
          <w:szCs w:val="24"/>
        </w:rPr>
        <w:t>The Creative Commissioner: Commissioned Works Under the Copyright Act of 1976</w:t>
      </w:r>
      <w:r w:rsidRPr="00454733">
        <w:rPr>
          <w:snapToGrid/>
          <w:szCs w:val="24"/>
        </w:rPr>
        <w:t xml:space="preserve">, 62 N.Y.U. L. Rev. 373, 384 (1987).  </w:t>
      </w:r>
      <w:r w:rsidR="00951940">
        <w:rPr>
          <w:snapToGrid/>
          <w:szCs w:val="24"/>
        </w:rPr>
        <w:t xml:space="preserve">  </w:t>
      </w:r>
      <w:r w:rsidR="00764AFF" w:rsidRPr="00454733">
        <w:rPr>
          <w:snapToGrid/>
          <w:szCs w:val="24"/>
        </w:rPr>
        <w:t xml:space="preserve">Members of Congress have introduced a bill </w:t>
      </w:r>
      <w:r w:rsidR="00951940">
        <w:rPr>
          <w:snapToGrid/>
          <w:szCs w:val="24"/>
        </w:rPr>
        <w:t xml:space="preserve">to overrule a </w:t>
      </w:r>
      <w:proofErr w:type="gramStart"/>
      <w:r w:rsidR="00951940">
        <w:rPr>
          <w:snapToGrid/>
          <w:szCs w:val="24"/>
        </w:rPr>
        <w:t>case which</w:t>
      </w:r>
      <w:proofErr w:type="gramEnd"/>
      <w:r w:rsidR="00951940">
        <w:rPr>
          <w:snapToGrid/>
          <w:szCs w:val="24"/>
        </w:rPr>
        <w:t xml:space="preserve"> allows</w:t>
      </w:r>
      <w:r w:rsidR="00764AFF" w:rsidRPr="00454733">
        <w:rPr>
          <w:snapToGrid/>
          <w:szCs w:val="24"/>
        </w:rPr>
        <w:t xml:space="preserve"> </w:t>
      </w:r>
      <w:r w:rsidR="00951940">
        <w:rPr>
          <w:snapToGrid/>
          <w:szCs w:val="24"/>
        </w:rPr>
        <w:t>the party which commissioned a work</w:t>
      </w:r>
      <w:r w:rsidR="00764AFF" w:rsidRPr="00454733">
        <w:rPr>
          <w:snapToGrid/>
          <w:szCs w:val="24"/>
        </w:rPr>
        <w:t xml:space="preserve"> to </w:t>
      </w:r>
      <w:r w:rsidR="00951940">
        <w:rPr>
          <w:snapToGrid/>
          <w:szCs w:val="24"/>
        </w:rPr>
        <w:t>be its author</w:t>
      </w:r>
      <w:r w:rsidR="00764AFF" w:rsidRPr="00454733">
        <w:rPr>
          <w:snapToGrid/>
          <w:szCs w:val="24"/>
        </w:rPr>
        <w:t xml:space="preserve"> without a signed writing if </w:t>
      </w:r>
      <w:r w:rsidR="00951940">
        <w:rPr>
          <w:snapToGrid/>
          <w:szCs w:val="24"/>
        </w:rPr>
        <w:t>it</w:t>
      </w:r>
      <w:r w:rsidR="00764AFF" w:rsidRPr="00454733">
        <w:rPr>
          <w:snapToGrid/>
          <w:szCs w:val="24"/>
        </w:rPr>
        <w:t xml:space="preserve"> actively supervised the work done.  </w:t>
      </w:r>
      <w:r w:rsidR="00764AFF" w:rsidRPr="00454733">
        <w:rPr>
          <w:szCs w:val="24"/>
        </w:rPr>
        <w:t>S. 1223, 100</w:t>
      </w:r>
      <w:r w:rsidR="00764AFF" w:rsidRPr="00454733">
        <w:rPr>
          <w:szCs w:val="24"/>
          <w:vertAlign w:val="superscript"/>
        </w:rPr>
        <w:t>th</w:t>
      </w:r>
      <w:r w:rsidR="00764AFF" w:rsidRPr="00454733">
        <w:rPr>
          <w:szCs w:val="24"/>
        </w:rPr>
        <w:t xml:space="preserve"> Congress</w:t>
      </w:r>
      <w:proofErr w:type="gramStart"/>
      <w:r w:rsidR="00764AFF" w:rsidRPr="00454733">
        <w:rPr>
          <w:szCs w:val="24"/>
        </w:rPr>
        <w:t>.,</w:t>
      </w:r>
      <w:proofErr w:type="gramEnd"/>
      <w:r w:rsidR="00764AFF" w:rsidRPr="00454733">
        <w:rPr>
          <w:szCs w:val="24"/>
        </w:rPr>
        <w:t xml:space="preserve"> 1</w:t>
      </w:r>
      <w:r w:rsidR="00764AFF" w:rsidRPr="00454733">
        <w:rPr>
          <w:szCs w:val="24"/>
          <w:vertAlign w:val="superscript"/>
        </w:rPr>
        <w:t>st</w:t>
      </w:r>
      <w:r w:rsidR="00764AFF" w:rsidRPr="00454733">
        <w:rPr>
          <w:szCs w:val="24"/>
        </w:rPr>
        <w:t xml:space="preserve"> Sess. (1987).  </w:t>
      </w:r>
      <w:r w:rsidR="00482F12" w:rsidRPr="00454733">
        <w:rPr>
          <w:szCs w:val="24"/>
        </w:rPr>
        <w:t xml:space="preserve">The legislature intended to put measures in </w:t>
      </w:r>
      <w:proofErr w:type="gramStart"/>
      <w:r w:rsidR="00482F12" w:rsidRPr="00454733">
        <w:rPr>
          <w:szCs w:val="24"/>
        </w:rPr>
        <w:t>place which</w:t>
      </w:r>
      <w:proofErr w:type="gramEnd"/>
      <w:r w:rsidR="00482F12" w:rsidRPr="00454733">
        <w:rPr>
          <w:szCs w:val="24"/>
        </w:rPr>
        <w:t xml:space="preserve"> protect the creators of works, and the requirement of a signed writing prior to creation is in keeping with this intent.  </w:t>
      </w:r>
    </w:p>
    <w:p w14:paraId="2F0C7120" w14:textId="77777777" w:rsidR="005E30B1" w:rsidRDefault="005E30B1" w:rsidP="00BC2F04">
      <w:pPr>
        <w:widowControl/>
        <w:spacing w:line="480" w:lineRule="auto"/>
        <w:ind w:firstLine="720"/>
        <w:contextualSpacing/>
        <w:rPr>
          <w:szCs w:val="24"/>
        </w:rPr>
      </w:pPr>
      <w:r>
        <w:rPr>
          <w:szCs w:val="24"/>
        </w:rPr>
        <w:t xml:space="preserve">Ms. Lime and TinyTV assert that Ms. Lime is the author and owner of “Anticipatory Repudiation” and that their production of it was not in violation of the Copyright Act.  Congress’s </w:t>
      </w:r>
      <w:r w:rsidR="005868C0">
        <w:rPr>
          <w:szCs w:val="24"/>
        </w:rPr>
        <w:t xml:space="preserve">desire to give deference to the creator of a work reinforces their position.  Ms. Lime and TinyTV’s motion should be granted.   </w:t>
      </w:r>
    </w:p>
    <w:p w14:paraId="0B5C9F10" w14:textId="77777777" w:rsidR="009A5B7C" w:rsidRPr="007B066A" w:rsidRDefault="00076C6A" w:rsidP="00BC2F04">
      <w:pPr>
        <w:pStyle w:val="ListParagraph"/>
        <w:widowControl/>
        <w:numPr>
          <w:ilvl w:val="1"/>
          <w:numId w:val="4"/>
        </w:numPr>
        <w:spacing w:line="480" w:lineRule="auto"/>
        <w:rPr>
          <w:snapToGrid/>
          <w:szCs w:val="24"/>
        </w:rPr>
      </w:pPr>
      <w:r w:rsidRPr="007B066A">
        <w:rPr>
          <w:b/>
          <w:szCs w:val="24"/>
        </w:rPr>
        <w:t>Defendants</w:t>
      </w:r>
      <w:r w:rsidR="007B066A" w:rsidRPr="007B066A">
        <w:rPr>
          <w:b/>
          <w:szCs w:val="24"/>
        </w:rPr>
        <w:t xml:space="preserve">’ interpretation aligns with </w:t>
      </w:r>
      <w:r w:rsidR="009A5B7C" w:rsidRPr="007B066A">
        <w:rPr>
          <w:b/>
          <w:szCs w:val="24"/>
        </w:rPr>
        <w:t>Congress</w:t>
      </w:r>
      <w:r w:rsidR="007B066A" w:rsidRPr="007B066A">
        <w:rPr>
          <w:b/>
          <w:szCs w:val="24"/>
        </w:rPr>
        <w:t>’s</w:t>
      </w:r>
      <w:r w:rsidR="009A5B7C" w:rsidRPr="007B066A">
        <w:rPr>
          <w:b/>
          <w:szCs w:val="24"/>
        </w:rPr>
        <w:t xml:space="preserve"> </w:t>
      </w:r>
      <w:r w:rsidR="005868C0" w:rsidRPr="007B066A">
        <w:rPr>
          <w:b/>
          <w:szCs w:val="24"/>
        </w:rPr>
        <w:t>i</w:t>
      </w:r>
      <w:r w:rsidR="007B066A" w:rsidRPr="007B066A">
        <w:rPr>
          <w:b/>
          <w:szCs w:val="24"/>
        </w:rPr>
        <w:t>ntent</w:t>
      </w:r>
      <w:r w:rsidR="009A5B7C" w:rsidRPr="007B066A">
        <w:rPr>
          <w:b/>
          <w:szCs w:val="24"/>
        </w:rPr>
        <w:t xml:space="preserve"> for the </w:t>
      </w:r>
      <w:r w:rsidR="007B066A">
        <w:rPr>
          <w:b/>
          <w:szCs w:val="24"/>
        </w:rPr>
        <w:t xml:space="preserve">Copyright Act of 1976 </w:t>
      </w:r>
      <w:r w:rsidR="009A5B7C" w:rsidRPr="007B066A">
        <w:rPr>
          <w:b/>
          <w:szCs w:val="24"/>
        </w:rPr>
        <w:t xml:space="preserve">to </w:t>
      </w:r>
      <w:r w:rsidRPr="007B066A">
        <w:rPr>
          <w:b/>
          <w:szCs w:val="24"/>
        </w:rPr>
        <w:t>clarify</w:t>
      </w:r>
      <w:r w:rsidR="009A5B7C" w:rsidRPr="007B066A">
        <w:rPr>
          <w:b/>
          <w:szCs w:val="24"/>
        </w:rPr>
        <w:t xml:space="preserve"> </w:t>
      </w:r>
      <w:r w:rsidR="005868C0" w:rsidRPr="007B066A">
        <w:rPr>
          <w:b/>
          <w:szCs w:val="24"/>
        </w:rPr>
        <w:t>w</w:t>
      </w:r>
      <w:r w:rsidR="009A5B7C" w:rsidRPr="007B066A">
        <w:rPr>
          <w:b/>
          <w:szCs w:val="24"/>
        </w:rPr>
        <w:t xml:space="preserve">hen a </w:t>
      </w:r>
      <w:r w:rsidR="005868C0" w:rsidRPr="007B066A">
        <w:rPr>
          <w:b/>
          <w:szCs w:val="24"/>
        </w:rPr>
        <w:t>w</w:t>
      </w:r>
      <w:r w:rsidR="009A5B7C" w:rsidRPr="007B066A">
        <w:rPr>
          <w:b/>
          <w:szCs w:val="24"/>
        </w:rPr>
        <w:t xml:space="preserve">ork </w:t>
      </w:r>
      <w:r w:rsidRPr="007B066A">
        <w:rPr>
          <w:b/>
          <w:szCs w:val="24"/>
        </w:rPr>
        <w:t xml:space="preserve">is </w:t>
      </w:r>
      <w:r w:rsidR="009A5B7C" w:rsidRPr="007B066A">
        <w:rPr>
          <w:b/>
          <w:szCs w:val="24"/>
        </w:rPr>
        <w:t xml:space="preserve">a </w:t>
      </w:r>
      <w:r w:rsidR="005868C0" w:rsidRPr="007B066A">
        <w:rPr>
          <w:b/>
          <w:szCs w:val="24"/>
        </w:rPr>
        <w:t>w</w:t>
      </w:r>
      <w:r w:rsidR="009A5B7C" w:rsidRPr="007B066A">
        <w:rPr>
          <w:b/>
          <w:szCs w:val="24"/>
        </w:rPr>
        <w:t xml:space="preserve">ork </w:t>
      </w:r>
      <w:r w:rsidR="005868C0" w:rsidRPr="007B066A">
        <w:rPr>
          <w:b/>
          <w:szCs w:val="24"/>
        </w:rPr>
        <w:t>m</w:t>
      </w:r>
      <w:r w:rsidR="009A5B7C" w:rsidRPr="007B066A">
        <w:rPr>
          <w:b/>
          <w:szCs w:val="24"/>
        </w:rPr>
        <w:t xml:space="preserve">ade for </w:t>
      </w:r>
      <w:r w:rsidR="005868C0" w:rsidRPr="007B066A">
        <w:rPr>
          <w:b/>
          <w:szCs w:val="24"/>
        </w:rPr>
        <w:t>h</w:t>
      </w:r>
      <w:r w:rsidR="009A5B7C" w:rsidRPr="007B066A">
        <w:rPr>
          <w:b/>
          <w:szCs w:val="24"/>
        </w:rPr>
        <w:t>ire</w:t>
      </w:r>
      <w:r w:rsidRPr="007B066A">
        <w:rPr>
          <w:b/>
          <w:szCs w:val="24"/>
        </w:rPr>
        <w:t>.</w:t>
      </w:r>
      <w:r w:rsidR="005868C0" w:rsidRPr="007B066A">
        <w:rPr>
          <w:b/>
          <w:szCs w:val="24"/>
        </w:rPr>
        <w:t xml:space="preserve"> </w:t>
      </w:r>
    </w:p>
    <w:p w14:paraId="7B4ED265" w14:textId="77777777" w:rsidR="00C01812" w:rsidRDefault="005868C0" w:rsidP="00BC2F04">
      <w:pPr>
        <w:spacing w:after="240" w:line="480" w:lineRule="auto"/>
        <w:ind w:firstLine="720"/>
        <w:contextualSpacing/>
        <w:rPr>
          <w:szCs w:val="24"/>
        </w:rPr>
      </w:pPr>
      <w:r>
        <w:rPr>
          <w:szCs w:val="24"/>
        </w:rPr>
        <w:t xml:space="preserve">Ms. Lime and TinyTV’s claim is supported by another aim of Congress in revising the Copyright Act.  In addition to giving deference to the creator of a work, Congress also desired to </w:t>
      </w:r>
      <w:r w:rsidR="0064393E" w:rsidRPr="00454733">
        <w:rPr>
          <w:szCs w:val="24"/>
        </w:rPr>
        <w:t xml:space="preserve">clarify </w:t>
      </w:r>
      <w:r w:rsidR="00226B87" w:rsidRPr="00454733">
        <w:rPr>
          <w:szCs w:val="24"/>
        </w:rPr>
        <w:t>whether</w:t>
      </w:r>
      <w:r w:rsidR="0064393E" w:rsidRPr="00454733">
        <w:rPr>
          <w:szCs w:val="24"/>
        </w:rPr>
        <w:t xml:space="preserve"> a work </w:t>
      </w:r>
      <w:r w:rsidR="00C01812">
        <w:rPr>
          <w:szCs w:val="24"/>
        </w:rPr>
        <w:t>is</w:t>
      </w:r>
      <w:r w:rsidR="00226B87" w:rsidRPr="00454733">
        <w:rPr>
          <w:szCs w:val="24"/>
        </w:rPr>
        <w:t xml:space="preserve"> the subject of a work for hire agreement</w:t>
      </w:r>
      <w:r w:rsidR="0064393E" w:rsidRPr="00454733">
        <w:rPr>
          <w:szCs w:val="24"/>
        </w:rPr>
        <w:t>.</w:t>
      </w:r>
      <w:r>
        <w:rPr>
          <w:szCs w:val="24"/>
        </w:rPr>
        <w:t xml:space="preserve">  </w:t>
      </w:r>
      <w:proofErr w:type="gramStart"/>
      <w:r w:rsidR="0064393E" w:rsidRPr="00454733">
        <w:rPr>
          <w:szCs w:val="24"/>
        </w:rPr>
        <w:t>H.R. Rep. No.</w:t>
      </w:r>
      <w:proofErr w:type="gramEnd"/>
      <w:r w:rsidR="0064393E" w:rsidRPr="00454733">
        <w:rPr>
          <w:szCs w:val="24"/>
        </w:rPr>
        <w:t xml:space="preserve">  </w:t>
      </w:r>
      <w:proofErr w:type="gramStart"/>
      <w:r w:rsidR="0064393E" w:rsidRPr="00454733">
        <w:rPr>
          <w:szCs w:val="24"/>
        </w:rPr>
        <w:t>94-1476, at 5737 (1976).</w:t>
      </w:r>
      <w:proofErr w:type="gramEnd"/>
      <w:r w:rsidR="0064393E" w:rsidRPr="00454733">
        <w:rPr>
          <w:szCs w:val="24"/>
        </w:rPr>
        <w:t xml:space="preserve">  </w:t>
      </w:r>
      <w:r>
        <w:rPr>
          <w:szCs w:val="24"/>
        </w:rPr>
        <w:t>According to the United States Supreme Court</w:t>
      </w:r>
      <w:r w:rsidR="00A10701" w:rsidRPr="00454733">
        <w:rPr>
          <w:szCs w:val="24"/>
        </w:rPr>
        <w:t>, “</w:t>
      </w:r>
      <w:r>
        <w:rPr>
          <w:szCs w:val="24"/>
        </w:rPr>
        <w:t>[</w:t>
      </w:r>
      <w:proofErr w:type="gramStart"/>
      <w:r>
        <w:rPr>
          <w:szCs w:val="24"/>
        </w:rPr>
        <w:t>t]</w:t>
      </w:r>
      <w:r w:rsidR="00A10701" w:rsidRPr="00454733">
        <w:rPr>
          <w:szCs w:val="24"/>
        </w:rPr>
        <w:t>he</w:t>
      </w:r>
      <w:proofErr w:type="gramEnd"/>
      <w:r w:rsidR="00A10701" w:rsidRPr="00454733">
        <w:rPr>
          <w:szCs w:val="24"/>
        </w:rPr>
        <w:t xml:space="preserve"> Copyright Act was enacted to enhance certainty in copyright ownership and predictability within the law.” </w:t>
      </w:r>
      <w:r w:rsidR="00570C75" w:rsidRPr="00454733">
        <w:rPr>
          <w:i/>
          <w:szCs w:val="24"/>
        </w:rPr>
        <w:t xml:space="preserve">Cmty. </w:t>
      </w:r>
      <w:proofErr w:type="gramStart"/>
      <w:r w:rsidR="00570C75" w:rsidRPr="00454733">
        <w:rPr>
          <w:i/>
          <w:szCs w:val="24"/>
        </w:rPr>
        <w:t>for</w:t>
      </w:r>
      <w:proofErr w:type="gramEnd"/>
      <w:r w:rsidR="00570C75" w:rsidRPr="00454733">
        <w:rPr>
          <w:i/>
          <w:szCs w:val="24"/>
        </w:rPr>
        <w:t xml:space="preserve"> Creative Non-Violence, </w:t>
      </w:r>
      <w:r w:rsidR="00570C75" w:rsidRPr="00454733">
        <w:rPr>
          <w:szCs w:val="24"/>
        </w:rPr>
        <w:t>490 U.S. at 749</w:t>
      </w:r>
      <w:r w:rsidR="00A10701" w:rsidRPr="00454733">
        <w:rPr>
          <w:szCs w:val="24"/>
        </w:rPr>
        <w:t xml:space="preserve">.  </w:t>
      </w:r>
    </w:p>
    <w:p w14:paraId="19EA65A1" w14:textId="77777777" w:rsidR="00C01812" w:rsidRDefault="00C01812" w:rsidP="00BC2F04">
      <w:pPr>
        <w:spacing w:after="240" w:line="480" w:lineRule="auto"/>
        <w:ind w:firstLine="720"/>
        <w:contextualSpacing/>
        <w:rPr>
          <w:szCs w:val="24"/>
        </w:rPr>
      </w:pPr>
      <w:r>
        <w:rPr>
          <w:szCs w:val="24"/>
        </w:rPr>
        <w:t xml:space="preserve">A brightline rule requiring work made for hire agreements to be signed before creation </w:t>
      </w:r>
      <w:r>
        <w:rPr>
          <w:szCs w:val="24"/>
        </w:rPr>
        <w:lastRenderedPageBreak/>
        <w:t xml:space="preserve">would support Congress’s intent on this matter.  </w:t>
      </w:r>
      <w:r w:rsidR="00A10701" w:rsidRPr="00454733">
        <w:rPr>
          <w:szCs w:val="24"/>
        </w:rPr>
        <w:t>This</w:t>
      </w:r>
      <w:r>
        <w:rPr>
          <w:szCs w:val="24"/>
        </w:rPr>
        <w:t xml:space="preserve"> rule would</w:t>
      </w:r>
      <w:r w:rsidR="00A10701" w:rsidRPr="00454733">
        <w:rPr>
          <w:szCs w:val="24"/>
        </w:rPr>
        <w:t xml:space="preserve"> </w:t>
      </w:r>
      <w:r w:rsidR="004B51E0" w:rsidRPr="00454733">
        <w:rPr>
          <w:szCs w:val="24"/>
        </w:rPr>
        <w:t>eradicate</w:t>
      </w:r>
      <w:r w:rsidR="00A10701" w:rsidRPr="00454733">
        <w:rPr>
          <w:szCs w:val="24"/>
        </w:rPr>
        <w:t xml:space="preserve"> reliance on ambiguous statements, credibility of witnesses and other subjective determining factors.  The matter </w:t>
      </w:r>
      <w:r>
        <w:rPr>
          <w:szCs w:val="24"/>
        </w:rPr>
        <w:t>would be</w:t>
      </w:r>
      <w:r w:rsidR="00A10701" w:rsidRPr="00454733">
        <w:rPr>
          <w:szCs w:val="24"/>
        </w:rPr>
        <w:t xml:space="preserve"> settled early on, and disp</w:t>
      </w:r>
      <w:r w:rsidR="009A0D7C" w:rsidRPr="00454733">
        <w:rPr>
          <w:szCs w:val="24"/>
        </w:rPr>
        <w:t>utes dealt with pre-emptively</w:t>
      </w:r>
      <w:r>
        <w:rPr>
          <w:szCs w:val="24"/>
        </w:rPr>
        <w:t xml:space="preserve">.  </w:t>
      </w:r>
      <w:r w:rsidR="00326987">
        <w:rPr>
          <w:szCs w:val="24"/>
        </w:rPr>
        <w:t>Plaintiff’s counsel may argue that this</w:t>
      </w:r>
      <w:r w:rsidR="00BA5C33" w:rsidRPr="00454733">
        <w:rPr>
          <w:szCs w:val="24"/>
        </w:rPr>
        <w:t xml:space="preserve"> </w:t>
      </w:r>
      <w:r>
        <w:rPr>
          <w:szCs w:val="24"/>
        </w:rPr>
        <w:t>rule would draw</w:t>
      </w:r>
      <w:r w:rsidR="00BA5C33" w:rsidRPr="00454733">
        <w:rPr>
          <w:szCs w:val="24"/>
        </w:rPr>
        <w:t xml:space="preserve"> an arbitrary </w:t>
      </w:r>
      <w:proofErr w:type="gramStart"/>
      <w:r w:rsidR="00BA5C33" w:rsidRPr="00454733">
        <w:rPr>
          <w:szCs w:val="24"/>
        </w:rPr>
        <w:t>line which</w:t>
      </w:r>
      <w:proofErr w:type="gramEnd"/>
      <w:r w:rsidR="00BA5C33" w:rsidRPr="00454733">
        <w:rPr>
          <w:szCs w:val="24"/>
        </w:rPr>
        <w:t xml:space="preserve"> prematurely </w:t>
      </w:r>
      <w:r>
        <w:rPr>
          <w:szCs w:val="24"/>
        </w:rPr>
        <w:t>removes the possibility of</w:t>
      </w:r>
      <w:r w:rsidR="00BA5C33" w:rsidRPr="00454733">
        <w:rPr>
          <w:szCs w:val="24"/>
        </w:rPr>
        <w:t xml:space="preserve"> a work made for hire</w:t>
      </w:r>
      <w:r>
        <w:rPr>
          <w:szCs w:val="24"/>
        </w:rPr>
        <w:t xml:space="preserve"> agreement</w:t>
      </w:r>
      <w:r w:rsidR="00326987">
        <w:rPr>
          <w:szCs w:val="24"/>
        </w:rPr>
        <w:t xml:space="preserve">.  However, as stated above, </w:t>
      </w:r>
      <w:r w:rsidR="004B51E0" w:rsidRPr="00454733">
        <w:rPr>
          <w:szCs w:val="24"/>
        </w:rPr>
        <w:t xml:space="preserve">the Copyright Act </w:t>
      </w:r>
      <w:r w:rsidR="00482F12" w:rsidRPr="00454733">
        <w:rPr>
          <w:szCs w:val="24"/>
        </w:rPr>
        <w:t xml:space="preserve">must be considered </w:t>
      </w:r>
      <w:r w:rsidR="004B51E0" w:rsidRPr="00454733">
        <w:rPr>
          <w:szCs w:val="24"/>
        </w:rPr>
        <w:t>as a whole</w:t>
      </w:r>
      <w:r w:rsidR="00326987">
        <w:rPr>
          <w:szCs w:val="24"/>
        </w:rPr>
        <w:t>, and w</w:t>
      </w:r>
      <w:r w:rsidR="00BA5C33" w:rsidRPr="00454733">
        <w:rPr>
          <w:szCs w:val="24"/>
        </w:rPr>
        <w:t xml:space="preserve">ork made for hire agreements are not the only means for the transfer of </w:t>
      </w:r>
      <w:r w:rsidR="00704618" w:rsidRPr="00454733">
        <w:rPr>
          <w:szCs w:val="24"/>
        </w:rPr>
        <w:t>copyright</w:t>
      </w:r>
      <w:r w:rsidR="00BA5C33" w:rsidRPr="00454733">
        <w:rPr>
          <w:szCs w:val="24"/>
        </w:rPr>
        <w:t xml:space="preserve">.  </w:t>
      </w:r>
      <w:r w:rsidR="00482F12" w:rsidRPr="00454733">
        <w:rPr>
          <w:szCs w:val="24"/>
        </w:rPr>
        <w:t xml:space="preserve">This brightline rule is in keeping with legislative intent as it serves to clarify the issue of authorship and to eliminate disputes.  </w:t>
      </w:r>
    </w:p>
    <w:p w14:paraId="50498B8F" w14:textId="77777777" w:rsidR="00C01812" w:rsidRDefault="00C01812" w:rsidP="00BC2F04">
      <w:pPr>
        <w:spacing w:after="240" w:line="480" w:lineRule="auto"/>
        <w:ind w:firstLine="720"/>
        <w:contextualSpacing/>
        <w:rPr>
          <w:szCs w:val="24"/>
        </w:rPr>
      </w:pPr>
      <w:r w:rsidRPr="00454733">
        <w:rPr>
          <w:szCs w:val="24"/>
        </w:rPr>
        <w:t>Ms. Lime and Tiny</w:t>
      </w:r>
      <w:r>
        <w:rPr>
          <w:szCs w:val="24"/>
        </w:rPr>
        <w:t>TV assert</w:t>
      </w:r>
      <w:r w:rsidRPr="00454733">
        <w:rPr>
          <w:szCs w:val="24"/>
        </w:rPr>
        <w:t xml:space="preserve"> an </w:t>
      </w:r>
      <w:proofErr w:type="gramStart"/>
      <w:r w:rsidRPr="00454733">
        <w:rPr>
          <w:szCs w:val="24"/>
        </w:rPr>
        <w:t>interpretation which</w:t>
      </w:r>
      <w:proofErr w:type="gramEnd"/>
      <w:r w:rsidRPr="00454733">
        <w:rPr>
          <w:szCs w:val="24"/>
        </w:rPr>
        <w:t xml:space="preserve"> eliminates such disputes and ensures that the work made for hire status is determined and settled.  </w:t>
      </w:r>
      <w:r>
        <w:rPr>
          <w:szCs w:val="24"/>
        </w:rPr>
        <w:t xml:space="preserve">However, </w:t>
      </w:r>
      <w:r w:rsidRPr="00454733">
        <w:rPr>
          <w:szCs w:val="24"/>
        </w:rPr>
        <w:t xml:space="preserve">OGS’s interpretation of 17 U.S.C. § 101 is not in keeping with this desire to “enhance certainty.”  On the contrary, it serves to increase ambiguity.  By allowing a work made for hire agreement to be signed after the creation of a work, this interpretation opens the door for disputes, </w:t>
      </w:r>
      <w:r>
        <w:rPr>
          <w:szCs w:val="24"/>
        </w:rPr>
        <w:t xml:space="preserve">disagreements and </w:t>
      </w:r>
      <w:r w:rsidRPr="00454733">
        <w:rPr>
          <w:szCs w:val="24"/>
        </w:rPr>
        <w:t xml:space="preserve">false statements regarding whether a work was intended to be a work made for hire.  It also leaves the work for hire status of a </w:t>
      </w:r>
      <w:r>
        <w:rPr>
          <w:szCs w:val="24"/>
        </w:rPr>
        <w:t>creation</w:t>
      </w:r>
      <w:r w:rsidRPr="00454733">
        <w:rPr>
          <w:szCs w:val="24"/>
        </w:rPr>
        <w:t xml:space="preserve"> undetermined and in flux for an indefinite period of time.  </w:t>
      </w:r>
    </w:p>
    <w:p w14:paraId="307BBE06" w14:textId="77777777" w:rsidR="00CA78D9" w:rsidRPr="00454733" w:rsidRDefault="006E1786" w:rsidP="006E1786">
      <w:pPr>
        <w:spacing w:line="480" w:lineRule="auto"/>
        <w:ind w:firstLine="360"/>
        <w:contextualSpacing/>
        <w:rPr>
          <w:szCs w:val="24"/>
        </w:rPr>
      </w:pPr>
      <w:r w:rsidRPr="00454733">
        <w:rPr>
          <w:szCs w:val="24"/>
        </w:rPr>
        <w:t xml:space="preserve">The situation at hand is the very one the legislature intended to prevent.  A brightline rule would serve to protect Ms. Lime’s interests in the screenplay she wrote as well as to quickly resolve this dispute over ownership.  </w:t>
      </w:r>
      <w:r w:rsidR="00847330" w:rsidRPr="00A972CA">
        <w:rPr>
          <w:szCs w:val="24"/>
        </w:rPr>
        <w:t xml:space="preserve">OGS’s construction of 17 U.S.C. § 101 is inconsistent with </w:t>
      </w:r>
      <w:r w:rsidR="00A972CA" w:rsidRPr="00A972CA">
        <w:rPr>
          <w:szCs w:val="24"/>
        </w:rPr>
        <w:t xml:space="preserve">Congress’s intent to narrow the scope of a work made for hire, and its desire to clarify when a work is a work made for hire.  </w:t>
      </w:r>
      <w:r w:rsidR="00A972CA">
        <w:rPr>
          <w:szCs w:val="24"/>
        </w:rPr>
        <w:t>OGS’s asserted interpretation</w:t>
      </w:r>
      <w:r w:rsidR="00847330" w:rsidRPr="00A972CA">
        <w:rPr>
          <w:szCs w:val="24"/>
        </w:rPr>
        <w:t xml:space="preserve"> </w:t>
      </w:r>
      <w:r w:rsidR="00A972CA">
        <w:rPr>
          <w:szCs w:val="24"/>
        </w:rPr>
        <w:t xml:space="preserve">both </w:t>
      </w:r>
      <w:r w:rsidR="00847330" w:rsidRPr="00A972CA">
        <w:rPr>
          <w:szCs w:val="24"/>
        </w:rPr>
        <w:t xml:space="preserve">broadens the scope of a work made for hire, and allows for ambiguity in its determination. Ms. Lime and TinyTV’s interpretation is consistent with the intentions as it serves to restrict the scope of a work made for </w:t>
      </w:r>
      <w:r w:rsidR="00847330" w:rsidRPr="00A972CA">
        <w:rPr>
          <w:szCs w:val="24"/>
        </w:rPr>
        <w:lastRenderedPageBreak/>
        <w:t>hire as well as creating a brightline rule by which an agreement can be measured.</w:t>
      </w:r>
      <w:r w:rsidR="00847330" w:rsidRPr="00454733">
        <w:rPr>
          <w:szCs w:val="24"/>
        </w:rPr>
        <w:t xml:space="preserve">  </w:t>
      </w:r>
      <w:r w:rsidR="00CA78D9" w:rsidRPr="00454733">
        <w:rPr>
          <w:szCs w:val="24"/>
        </w:rPr>
        <w:t xml:space="preserve">Ms. Lime and TinyTV put forth an interpretation of a § 101 work made for hire which is consistent with the legislature’s intent in drafting the Copyright Act of 1976.  </w:t>
      </w:r>
      <w:r w:rsidR="00A972CA">
        <w:rPr>
          <w:szCs w:val="24"/>
        </w:rPr>
        <w:t xml:space="preserve">Upon consideration of this intent, Ms. Lime and TinyTV’s motion should be granted.  </w:t>
      </w:r>
    </w:p>
    <w:p w14:paraId="1635B430" w14:textId="77777777" w:rsidR="00A972CA" w:rsidRPr="00264112" w:rsidRDefault="00A972CA" w:rsidP="00BC2F04">
      <w:pPr>
        <w:pStyle w:val="ListParagraph"/>
        <w:numPr>
          <w:ilvl w:val="0"/>
          <w:numId w:val="4"/>
        </w:numPr>
        <w:spacing w:after="240" w:line="480" w:lineRule="auto"/>
        <w:rPr>
          <w:szCs w:val="24"/>
        </w:rPr>
      </w:pPr>
      <w:r>
        <w:rPr>
          <w:b/>
          <w:szCs w:val="24"/>
        </w:rPr>
        <w:t xml:space="preserve">Cases interpreting the Copyright Act of 1976 </w:t>
      </w:r>
      <w:r w:rsidR="00EE5B27">
        <w:rPr>
          <w:b/>
          <w:szCs w:val="24"/>
        </w:rPr>
        <w:t xml:space="preserve">support Defendants’ </w:t>
      </w:r>
      <w:r w:rsidR="001710E5">
        <w:rPr>
          <w:b/>
          <w:szCs w:val="24"/>
        </w:rPr>
        <w:t>assertion</w:t>
      </w:r>
      <w:r w:rsidR="00EE5B27">
        <w:rPr>
          <w:b/>
          <w:szCs w:val="24"/>
        </w:rPr>
        <w:t xml:space="preserve"> by </w:t>
      </w:r>
      <w:r>
        <w:rPr>
          <w:b/>
          <w:szCs w:val="24"/>
        </w:rPr>
        <w:t>hold</w:t>
      </w:r>
      <w:r w:rsidR="00EE5B27">
        <w:rPr>
          <w:b/>
          <w:szCs w:val="24"/>
        </w:rPr>
        <w:t>ing</w:t>
      </w:r>
      <w:r>
        <w:rPr>
          <w:b/>
          <w:szCs w:val="24"/>
        </w:rPr>
        <w:t xml:space="preserve"> that </w:t>
      </w:r>
      <w:proofErr w:type="gramStart"/>
      <w:r>
        <w:rPr>
          <w:b/>
          <w:szCs w:val="24"/>
        </w:rPr>
        <w:t>a wri</w:t>
      </w:r>
      <w:r w:rsidR="00BC2F04">
        <w:rPr>
          <w:b/>
          <w:szCs w:val="24"/>
        </w:rPr>
        <w:t>ting</w:t>
      </w:r>
      <w:proofErr w:type="gramEnd"/>
      <w:r w:rsidR="00BC2F04">
        <w:rPr>
          <w:b/>
          <w:szCs w:val="24"/>
        </w:rPr>
        <w:t xml:space="preserve"> must precede creation.</w:t>
      </w:r>
    </w:p>
    <w:p w14:paraId="254E5E45" w14:textId="77777777" w:rsidR="00591FE3" w:rsidRPr="00454733" w:rsidRDefault="00986EDA" w:rsidP="00BC2F04">
      <w:pPr>
        <w:spacing w:line="480" w:lineRule="auto"/>
        <w:ind w:firstLine="720"/>
        <w:contextualSpacing/>
        <w:rPr>
          <w:szCs w:val="24"/>
        </w:rPr>
      </w:pPr>
      <w:r w:rsidRPr="00454733">
        <w:rPr>
          <w:szCs w:val="24"/>
        </w:rPr>
        <w:t xml:space="preserve">Case law supports the requirement of a signed writing prior to creation of a work.  </w:t>
      </w:r>
      <w:r w:rsidR="00360B01" w:rsidRPr="00454733">
        <w:rPr>
          <w:szCs w:val="24"/>
        </w:rPr>
        <w:t xml:space="preserve">The </w:t>
      </w:r>
      <w:r w:rsidR="001710E5">
        <w:rPr>
          <w:szCs w:val="24"/>
        </w:rPr>
        <w:t xml:space="preserve">United States </w:t>
      </w:r>
      <w:r w:rsidR="006C1813" w:rsidRPr="00454733">
        <w:rPr>
          <w:szCs w:val="24"/>
        </w:rPr>
        <w:t xml:space="preserve">Supreme Court as well as </w:t>
      </w:r>
      <w:r w:rsidR="009B535A" w:rsidRPr="00454733">
        <w:rPr>
          <w:szCs w:val="24"/>
        </w:rPr>
        <w:t xml:space="preserve">the </w:t>
      </w:r>
      <w:r w:rsidR="001710E5">
        <w:rPr>
          <w:szCs w:val="24"/>
        </w:rPr>
        <w:t>S</w:t>
      </w:r>
      <w:r w:rsidR="009B535A" w:rsidRPr="00454733">
        <w:rPr>
          <w:szCs w:val="24"/>
        </w:rPr>
        <w:t xml:space="preserve">eventh </w:t>
      </w:r>
      <w:r w:rsidR="001710E5">
        <w:rPr>
          <w:szCs w:val="24"/>
        </w:rPr>
        <w:t>C</w:t>
      </w:r>
      <w:r w:rsidR="009B535A" w:rsidRPr="00454733">
        <w:rPr>
          <w:szCs w:val="24"/>
        </w:rPr>
        <w:t>ircuit</w:t>
      </w:r>
      <w:r w:rsidR="006C1813" w:rsidRPr="00454733">
        <w:rPr>
          <w:szCs w:val="24"/>
        </w:rPr>
        <w:t xml:space="preserve"> have ruled consistently with Ms. Lime and TinyTV’s </w:t>
      </w:r>
      <w:r w:rsidR="001710E5">
        <w:rPr>
          <w:szCs w:val="24"/>
        </w:rPr>
        <w:t>assertion that</w:t>
      </w:r>
      <w:r w:rsidR="006C1813" w:rsidRPr="00454733">
        <w:rPr>
          <w:szCs w:val="24"/>
        </w:rPr>
        <w:t xml:space="preserve"> § 101</w:t>
      </w:r>
      <w:r w:rsidR="001710E5">
        <w:rPr>
          <w:szCs w:val="24"/>
        </w:rPr>
        <w:t xml:space="preserve"> requires a signed writing before creation of a work made for hire</w:t>
      </w:r>
      <w:r w:rsidR="006C1813" w:rsidRPr="00454733">
        <w:rPr>
          <w:szCs w:val="24"/>
        </w:rPr>
        <w:t xml:space="preserve">.  </w:t>
      </w:r>
      <w:r w:rsidR="009B535A" w:rsidRPr="00454733">
        <w:rPr>
          <w:szCs w:val="24"/>
        </w:rPr>
        <w:t xml:space="preserve">   </w:t>
      </w:r>
    </w:p>
    <w:p w14:paraId="4A8345D2" w14:textId="77777777" w:rsidR="00DD1C61" w:rsidRPr="00BC2F04" w:rsidRDefault="00DD1C61" w:rsidP="00BC2F04">
      <w:pPr>
        <w:pStyle w:val="ListParagraph"/>
        <w:widowControl/>
        <w:numPr>
          <w:ilvl w:val="1"/>
          <w:numId w:val="4"/>
        </w:numPr>
        <w:spacing w:line="480" w:lineRule="auto"/>
        <w:rPr>
          <w:snapToGrid/>
          <w:szCs w:val="24"/>
        </w:rPr>
      </w:pPr>
      <w:r w:rsidRPr="00BC2F04">
        <w:rPr>
          <w:b/>
          <w:szCs w:val="24"/>
        </w:rPr>
        <w:t xml:space="preserve">Case </w:t>
      </w:r>
      <w:r w:rsidR="00BC2F04">
        <w:rPr>
          <w:b/>
          <w:szCs w:val="24"/>
        </w:rPr>
        <w:t>l</w:t>
      </w:r>
      <w:r w:rsidRPr="00BC2F04">
        <w:rPr>
          <w:b/>
          <w:szCs w:val="24"/>
        </w:rPr>
        <w:t xml:space="preserve">aw </w:t>
      </w:r>
      <w:r w:rsidR="00BC2F04">
        <w:rPr>
          <w:b/>
          <w:szCs w:val="24"/>
        </w:rPr>
        <w:t>i</w:t>
      </w:r>
      <w:r w:rsidRPr="00BC2F04">
        <w:rPr>
          <w:b/>
          <w:szCs w:val="24"/>
        </w:rPr>
        <w:t xml:space="preserve">ndicates </w:t>
      </w:r>
      <w:proofErr w:type="gramStart"/>
      <w:r w:rsidRPr="00BC2F04">
        <w:rPr>
          <w:b/>
          <w:szCs w:val="24"/>
        </w:rPr>
        <w:t xml:space="preserve">a </w:t>
      </w:r>
      <w:r w:rsidR="00BC2F04">
        <w:rPr>
          <w:b/>
          <w:szCs w:val="24"/>
        </w:rPr>
        <w:t>w</w:t>
      </w:r>
      <w:r w:rsidRPr="00BC2F04">
        <w:rPr>
          <w:b/>
          <w:szCs w:val="24"/>
        </w:rPr>
        <w:t>riting</w:t>
      </w:r>
      <w:proofErr w:type="gramEnd"/>
      <w:r w:rsidRPr="00BC2F04">
        <w:rPr>
          <w:b/>
          <w:szCs w:val="24"/>
        </w:rPr>
        <w:t xml:space="preserve"> </w:t>
      </w:r>
      <w:r w:rsidR="00BC2F04">
        <w:rPr>
          <w:b/>
          <w:szCs w:val="24"/>
        </w:rPr>
        <w:t>m</w:t>
      </w:r>
      <w:r w:rsidRPr="00BC2F04">
        <w:rPr>
          <w:b/>
          <w:szCs w:val="24"/>
        </w:rPr>
        <w:t xml:space="preserve">ust </w:t>
      </w:r>
      <w:r w:rsidR="00BC2F04">
        <w:rPr>
          <w:b/>
          <w:szCs w:val="24"/>
        </w:rPr>
        <w:t>p</w:t>
      </w:r>
      <w:r w:rsidRPr="00BC2F04">
        <w:rPr>
          <w:b/>
          <w:szCs w:val="24"/>
        </w:rPr>
        <w:t xml:space="preserve">recede </w:t>
      </w:r>
      <w:r w:rsidR="00BC2F04">
        <w:rPr>
          <w:b/>
          <w:szCs w:val="24"/>
        </w:rPr>
        <w:t>c</w:t>
      </w:r>
      <w:r w:rsidRPr="00BC2F04">
        <w:rPr>
          <w:b/>
          <w:szCs w:val="24"/>
        </w:rPr>
        <w:t xml:space="preserve">reation in </w:t>
      </w:r>
      <w:r w:rsidR="00BC2F04">
        <w:rPr>
          <w:b/>
          <w:szCs w:val="24"/>
        </w:rPr>
        <w:t>o</w:t>
      </w:r>
      <w:r w:rsidRPr="00BC2F04">
        <w:rPr>
          <w:b/>
          <w:szCs w:val="24"/>
        </w:rPr>
        <w:t xml:space="preserve">rder to </w:t>
      </w:r>
      <w:r w:rsidR="00BC2F04">
        <w:rPr>
          <w:b/>
          <w:szCs w:val="24"/>
        </w:rPr>
        <w:t>u</w:t>
      </w:r>
      <w:r w:rsidRPr="00BC2F04">
        <w:rPr>
          <w:b/>
          <w:szCs w:val="24"/>
        </w:rPr>
        <w:t xml:space="preserve">nequivocally </w:t>
      </w:r>
      <w:r w:rsidR="00BC2F04">
        <w:rPr>
          <w:b/>
          <w:szCs w:val="24"/>
        </w:rPr>
        <w:t>i</w:t>
      </w:r>
      <w:r w:rsidRPr="00BC2F04">
        <w:rPr>
          <w:b/>
          <w:szCs w:val="24"/>
        </w:rPr>
        <w:t xml:space="preserve">dentify the </w:t>
      </w:r>
      <w:r w:rsidR="00BC2F04">
        <w:rPr>
          <w:b/>
          <w:szCs w:val="24"/>
        </w:rPr>
        <w:t>o</w:t>
      </w:r>
      <w:r w:rsidRPr="00BC2F04">
        <w:rPr>
          <w:b/>
          <w:szCs w:val="24"/>
        </w:rPr>
        <w:t xml:space="preserve">wner of a </w:t>
      </w:r>
      <w:r w:rsidR="00BC2F04">
        <w:rPr>
          <w:b/>
          <w:szCs w:val="24"/>
        </w:rPr>
        <w:t>w</w:t>
      </w:r>
      <w:r w:rsidRPr="00BC2F04">
        <w:rPr>
          <w:b/>
          <w:szCs w:val="24"/>
        </w:rPr>
        <w:t>ork</w:t>
      </w:r>
      <w:r w:rsidR="00BC2F04">
        <w:rPr>
          <w:b/>
          <w:szCs w:val="24"/>
        </w:rPr>
        <w:t>.</w:t>
      </w:r>
    </w:p>
    <w:p w14:paraId="291A7171" w14:textId="77777777" w:rsidR="003C0089" w:rsidRDefault="001710E5" w:rsidP="00BC2F04">
      <w:pPr>
        <w:spacing w:line="480" w:lineRule="auto"/>
        <w:ind w:firstLine="720"/>
        <w:contextualSpacing/>
        <w:rPr>
          <w:snapToGrid/>
          <w:szCs w:val="24"/>
        </w:rPr>
      </w:pPr>
      <w:r w:rsidRPr="00454733">
        <w:rPr>
          <w:szCs w:val="24"/>
        </w:rPr>
        <w:t xml:space="preserve">The </w:t>
      </w:r>
      <w:r>
        <w:rPr>
          <w:szCs w:val="24"/>
        </w:rPr>
        <w:t>Se</w:t>
      </w:r>
      <w:r w:rsidRPr="00454733">
        <w:rPr>
          <w:szCs w:val="24"/>
        </w:rPr>
        <w:t>venth</w:t>
      </w:r>
      <w:r>
        <w:rPr>
          <w:szCs w:val="24"/>
        </w:rPr>
        <w:t xml:space="preserve"> C</w:t>
      </w:r>
      <w:r w:rsidRPr="00454733">
        <w:rPr>
          <w:szCs w:val="24"/>
        </w:rPr>
        <w:t>ircuit addresses the issue of a signed writing explicitly, stating that “</w:t>
      </w:r>
      <w:r w:rsidRPr="00454733">
        <w:rPr>
          <w:snapToGrid/>
          <w:szCs w:val="24"/>
        </w:rPr>
        <w:t>[</w:t>
      </w:r>
      <w:proofErr w:type="gramStart"/>
      <w:r w:rsidRPr="00454733">
        <w:rPr>
          <w:snapToGrid/>
          <w:szCs w:val="24"/>
        </w:rPr>
        <w:t>t]he</w:t>
      </w:r>
      <w:proofErr w:type="gramEnd"/>
      <w:r w:rsidRPr="00454733">
        <w:rPr>
          <w:snapToGrid/>
          <w:szCs w:val="24"/>
        </w:rPr>
        <w:t xml:space="preserve"> writing must precede the creation of the property in order to serve its purpose of identifying the (noncreator) owner unequivocally</w:t>
      </w:r>
      <w:r w:rsidRPr="00454733">
        <w:rPr>
          <w:szCs w:val="24"/>
        </w:rPr>
        <w:t xml:space="preserve">.  </w:t>
      </w:r>
      <w:r w:rsidRPr="00454733">
        <w:rPr>
          <w:i/>
          <w:snapToGrid/>
          <w:szCs w:val="24"/>
        </w:rPr>
        <w:t>Schiller &amp; Schmidt, Inc. v. Nordisco Corp.</w:t>
      </w:r>
      <w:r w:rsidRPr="00454733">
        <w:rPr>
          <w:snapToGrid/>
          <w:szCs w:val="24"/>
        </w:rPr>
        <w:t xml:space="preserve">, 969 F.2d 410, 413 (7th Cir. 1992).  </w:t>
      </w:r>
      <w:r w:rsidR="00591FE3" w:rsidRPr="00454733">
        <w:rPr>
          <w:szCs w:val="24"/>
        </w:rPr>
        <w:t xml:space="preserve">In </w:t>
      </w:r>
      <w:r w:rsidR="00591FE3" w:rsidRPr="00454733">
        <w:rPr>
          <w:i/>
          <w:szCs w:val="24"/>
        </w:rPr>
        <w:t>Schiller</w:t>
      </w:r>
      <w:r w:rsidR="00591FE3" w:rsidRPr="00454733">
        <w:rPr>
          <w:szCs w:val="24"/>
        </w:rPr>
        <w:t>, T</w:t>
      </w:r>
      <w:r w:rsidR="004A23BB" w:rsidRPr="00454733">
        <w:rPr>
          <w:szCs w:val="24"/>
        </w:rPr>
        <w:t xml:space="preserve">he Seventh Circuit found that </w:t>
      </w:r>
      <w:r w:rsidR="00591FE3" w:rsidRPr="00454733">
        <w:rPr>
          <w:szCs w:val="24"/>
        </w:rPr>
        <w:t xml:space="preserve">pictures taken by a photographer were not </w:t>
      </w:r>
      <w:r w:rsidR="004A23BB" w:rsidRPr="00454733">
        <w:rPr>
          <w:szCs w:val="24"/>
        </w:rPr>
        <w:t xml:space="preserve">works made for hire </w:t>
      </w:r>
      <w:r w:rsidR="00591FE3" w:rsidRPr="00454733">
        <w:rPr>
          <w:szCs w:val="24"/>
        </w:rPr>
        <w:t xml:space="preserve">because no signed writing preceded the shooting of the pictures. </w:t>
      </w:r>
      <w:r w:rsidR="0094427D" w:rsidRPr="00454733">
        <w:rPr>
          <w:szCs w:val="24"/>
        </w:rPr>
        <w:t xml:space="preserve"> </w:t>
      </w:r>
      <w:r w:rsidR="0094427D" w:rsidRPr="00454733">
        <w:rPr>
          <w:i/>
          <w:szCs w:val="24"/>
        </w:rPr>
        <w:t xml:space="preserve">See </w:t>
      </w:r>
      <w:r>
        <w:rPr>
          <w:i/>
          <w:szCs w:val="24"/>
        </w:rPr>
        <w:t>g</w:t>
      </w:r>
      <w:r w:rsidR="0094427D" w:rsidRPr="00454733">
        <w:rPr>
          <w:i/>
          <w:szCs w:val="24"/>
        </w:rPr>
        <w:t>enerally</w:t>
      </w:r>
      <w:r w:rsidR="00591FE3" w:rsidRPr="00454733">
        <w:rPr>
          <w:szCs w:val="24"/>
        </w:rPr>
        <w:t xml:space="preserve"> </w:t>
      </w:r>
      <w:r w:rsidR="0094427D" w:rsidRPr="00454733">
        <w:rPr>
          <w:i/>
          <w:snapToGrid/>
          <w:szCs w:val="24"/>
        </w:rPr>
        <w:t>Schiller &amp; Schmidt, Inc</w:t>
      </w:r>
      <w:proofErr w:type="gramStart"/>
      <w:r w:rsidR="00570C75" w:rsidRPr="00454733">
        <w:rPr>
          <w:i/>
          <w:snapToGrid/>
          <w:szCs w:val="24"/>
        </w:rPr>
        <w:t>,</w:t>
      </w:r>
      <w:r w:rsidR="0094427D" w:rsidRPr="00454733">
        <w:rPr>
          <w:i/>
          <w:snapToGrid/>
          <w:szCs w:val="24"/>
        </w:rPr>
        <w:t>.</w:t>
      </w:r>
      <w:proofErr w:type="gramEnd"/>
      <w:r w:rsidR="0094427D" w:rsidRPr="00454733">
        <w:rPr>
          <w:i/>
          <w:snapToGrid/>
          <w:szCs w:val="24"/>
        </w:rPr>
        <w:t xml:space="preserve"> </w:t>
      </w:r>
      <w:r w:rsidR="00570C75" w:rsidRPr="00454733">
        <w:rPr>
          <w:snapToGrid/>
          <w:szCs w:val="24"/>
        </w:rPr>
        <w:t>969 F.2d 410</w:t>
      </w:r>
      <w:proofErr w:type="gramStart"/>
      <w:r w:rsidR="00570C75" w:rsidRPr="00454733">
        <w:rPr>
          <w:snapToGrid/>
          <w:szCs w:val="24"/>
        </w:rPr>
        <w:t>.</w:t>
      </w:r>
      <w:r w:rsidR="0094427D" w:rsidRPr="00454733">
        <w:rPr>
          <w:snapToGrid/>
          <w:szCs w:val="24"/>
        </w:rPr>
        <w:t>.</w:t>
      </w:r>
      <w:proofErr w:type="gramEnd"/>
      <w:r w:rsidR="0094427D" w:rsidRPr="00454733">
        <w:rPr>
          <w:snapToGrid/>
          <w:szCs w:val="24"/>
        </w:rPr>
        <w:t xml:space="preserve">  </w:t>
      </w:r>
      <w:r w:rsidR="00591FE3" w:rsidRPr="00454733">
        <w:rPr>
          <w:szCs w:val="24"/>
        </w:rPr>
        <w:t xml:space="preserve">The court emphasizes </w:t>
      </w:r>
      <w:r w:rsidR="004A23BB" w:rsidRPr="00454733">
        <w:rPr>
          <w:szCs w:val="24"/>
        </w:rPr>
        <w:t xml:space="preserve">the importance of strict adherence to the language of 17 U.S.C. § 101, and puts forth </w:t>
      </w:r>
      <w:r>
        <w:rPr>
          <w:szCs w:val="24"/>
        </w:rPr>
        <w:t>two</w:t>
      </w:r>
      <w:r w:rsidR="004A23BB" w:rsidRPr="00454733">
        <w:rPr>
          <w:szCs w:val="24"/>
        </w:rPr>
        <w:t xml:space="preserve"> </w:t>
      </w:r>
      <w:r w:rsidR="006748A8">
        <w:rPr>
          <w:szCs w:val="24"/>
        </w:rPr>
        <w:t>objectives</w:t>
      </w:r>
      <w:r w:rsidR="004A23BB" w:rsidRPr="00454733">
        <w:rPr>
          <w:szCs w:val="24"/>
        </w:rPr>
        <w:t xml:space="preserve">: prevention of false claims of agreements and predictability of ownership.  </w:t>
      </w:r>
      <w:proofErr w:type="gramStart"/>
      <w:r>
        <w:rPr>
          <w:i/>
          <w:snapToGrid/>
          <w:szCs w:val="24"/>
        </w:rPr>
        <w:t>Id.</w:t>
      </w:r>
      <w:r w:rsidR="001B507D">
        <w:rPr>
          <w:snapToGrid/>
          <w:szCs w:val="24"/>
        </w:rPr>
        <w:t xml:space="preserve"> at 413</w:t>
      </w:r>
      <w:r w:rsidR="0094427D" w:rsidRPr="00454733">
        <w:rPr>
          <w:snapToGrid/>
          <w:szCs w:val="24"/>
        </w:rPr>
        <w:t>.</w:t>
      </w:r>
      <w:proofErr w:type="gramEnd"/>
      <w:r w:rsidR="0094427D" w:rsidRPr="00454733">
        <w:rPr>
          <w:snapToGrid/>
          <w:szCs w:val="24"/>
        </w:rPr>
        <w:t xml:space="preserve">  </w:t>
      </w:r>
    </w:p>
    <w:p w14:paraId="767EC1F5" w14:textId="77777777" w:rsidR="003C0089" w:rsidRDefault="001443AD" w:rsidP="00BC2F04">
      <w:pPr>
        <w:spacing w:line="480" w:lineRule="auto"/>
        <w:ind w:firstLine="720"/>
        <w:contextualSpacing/>
      </w:pPr>
      <w:r>
        <w:rPr>
          <w:szCs w:val="24"/>
        </w:rPr>
        <w:t>In the</w:t>
      </w:r>
      <w:r w:rsidR="007B066A">
        <w:rPr>
          <w:szCs w:val="24"/>
        </w:rPr>
        <w:t xml:space="preserve"> </w:t>
      </w:r>
      <w:r w:rsidR="007B066A">
        <w:rPr>
          <w:i/>
          <w:szCs w:val="24"/>
        </w:rPr>
        <w:t>Schiller</w:t>
      </w:r>
      <w:r>
        <w:rPr>
          <w:szCs w:val="24"/>
        </w:rPr>
        <w:t>, the plaintiff charged the defendant</w:t>
      </w:r>
      <w:r w:rsidR="003C0089">
        <w:rPr>
          <w:szCs w:val="24"/>
        </w:rPr>
        <w:t xml:space="preserve"> with</w:t>
      </w:r>
      <w:r w:rsidR="003D5055">
        <w:rPr>
          <w:szCs w:val="24"/>
        </w:rPr>
        <w:t>,</w:t>
      </w:r>
      <w:r>
        <w:rPr>
          <w:szCs w:val="24"/>
        </w:rPr>
        <w:t xml:space="preserve"> </w:t>
      </w:r>
      <w:r w:rsidR="003D5055">
        <w:rPr>
          <w:szCs w:val="24"/>
        </w:rPr>
        <w:t xml:space="preserve">inter alia, </w:t>
      </w:r>
      <w:r>
        <w:rPr>
          <w:szCs w:val="24"/>
        </w:rPr>
        <w:t xml:space="preserve">copyright infringement on the grounds that photographs the defendant took for the plaintiff’s catalog were works made for hire.  </w:t>
      </w:r>
      <w:proofErr w:type="gramStart"/>
      <w:r>
        <w:rPr>
          <w:i/>
          <w:szCs w:val="24"/>
        </w:rPr>
        <w:t xml:space="preserve">Id. </w:t>
      </w:r>
      <w:r>
        <w:rPr>
          <w:szCs w:val="24"/>
        </w:rPr>
        <w:t>at 411.</w:t>
      </w:r>
      <w:proofErr w:type="gramEnd"/>
      <w:r>
        <w:rPr>
          <w:szCs w:val="24"/>
        </w:rPr>
        <w:t xml:space="preserve">  The defendant initially took the photographs at</w:t>
      </w:r>
      <w:r w:rsidR="00D60DEC">
        <w:rPr>
          <w:szCs w:val="24"/>
        </w:rPr>
        <w:t xml:space="preserve"> the</w:t>
      </w:r>
      <w:r>
        <w:rPr>
          <w:szCs w:val="24"/>
        </w:rPr>
        <w:t xml:space="preserve"> plaintiff’s request, </w:t>
      </w:r>
      <w:r w:rsidR="00D60DEC">
        <w:rPr>
          <w:szCs w:val="24"/>
        </w:rPr>
        <w:t xml:space="preserve">and </w:t>
      </w:r>
      <w:r w:rsidR="00D60DEC">
        <w:rPr>
          <w:szCs w:val="24"/>
        </w:rPr>
        <w:lastRenderedPageBreak/>
        <w:t>after they were used in the plaintiff’s catalog, the defendant created his own catalog and used some of the same photographs.</w:t>
      </w:r>
      <w:r w:rsidR="003D5055">
        <w:rPr>
          <w:szCs w:val="24"/>
        </w:rPr>
        <w:t xml:space="preserve">  According to the </w:t>
      </w:r>
      <w:r>
        <w:rPr>
          <w:i/>
          <w:szCs w:val="24"/>
        </w:rPr>
        <w:t xml:space="preserve">Schiller </w:t>
      </w:r>
      <w:r w:rsidR="003D5055">
        <w:rPr>
          <w:szCs w:val="24"/>
        </w:rPr>
        <w:t xml:space="preserve">court, the work for hire agreement “came too late,” as it was signed </w:t>
      </w:r>
      <w:r w:rsidR="00F22988">
        <w:rPr>
          <w:szCs w:val="24"/>
        </w:rPr>
        <w:t xml:space="preserve">after the photographs had been taken.  </w:t>
      </w:r>
      <w:r w:rsidR="003D5055">
        <w:rPr>
          <w:i/>
          <w:szCs w:val="24"/>
        </w:rPr>
        <w:t xml:space="preserve">Id. </w:t>
      </w:r>
      <w:r w:rsidR="00F22988">
        <w:rPr>
          <w:szCs w:val="24"/>
        </w:rPr>
        <w:t>412</w:t>
      </w:r>
      <w:r w:rsidR="003D5055">
        <w:rPr>
          <w:szCs w:val="24"/>
        </w:rPr>
        <w:t>.</w:t>
      </w:r>
      <w:r w:rsidR="00F22988">
        <w:rPr>
          <w:szCs w:val="24"/>
        </w:rPr>
        <w:t xml:space="preserve">  </w:t>
      </w:r>
      <w:r w:rsidR="00F22988">
        <w:t xml:space="preserve">The facts in </w:t>
      </w:r>
      <w:r w:rsidR="00F22988">
        <w:rPr>
          <w:i/>
        </w:rPr>
        <w:t xml:space="preserve">Schiller </w:t>
      </w:r>
      <w:r w:rsidR="00F22988">
        <w:t xml:space="preserve">are very similar to the facts in the immediate case.  OGS asked Ms. Lime to write a screenplay for </w:t>
      </w:r>
      <w:r w:rsidR="00F22988">
        <w:rPr>
          <w:i/>
        </w:rPr>
        <w:t>Lawless Love</w:t>
      </w:r>
      <w:r w:rsidR="00DA1C41">
        <w:rPr>
          <w:i/>
        </w:rPr>
        <w:t xml:space="preserve"> </w:t>
      </w:r>
      <w:r w:rsidR="00DA1C41" w:rsidRPr="00454733">
        <w:rPr>
          <w:szCs w:val="24"/>
        </w:rPr>
        <w:t>(Compl. ¶ 9</w:t>
      </w:r>
      <w:r w:rsidR="00DA1C41">
        <w:rPr>
          <w:szCs w:val="24"/>
        </w:rPr>
        <w:t>.)</w:t>
      </w:r>
      <w:r w:rsidR="00F22988">
        <w:t>, but did not attempt to enter into a work made for hire agreement until after the screenplay had been written</w:t>
      </w:r>
      <w:r w:rsidR="00DA1C41">
        <w:t xml:space="preserve"> </w:t>
      </w:r>
      <w:r w:rsidR="00DA1C41">
        <w:rPr>
          <w:szCs w:val="24"/>
        </w:rPr>
        <w:t>(Compl. ¶ 24, 25.)</w:t>
      </w:r>
      <w:r w:rsidR="00EA3EEC">
        <w:t xml:space="preserve">.  </w:t>
      </w:r>
    </w:p>
    <w:p w14:paraId="77E3BFE6" w14:textId="77777777" w:rsidR="00591FE3" w:rsidRPr="003C0089" w:rsidRDefault="003C0089" w:rsidP="00BC2F04">
      <w:pPr>
        <w:spacing w:line="480" w:lineRule="auto"/>
        <w:ind w:firstLine="720"/>
        <w:contextualSpacing/>
      </w:pPr>
      <w:r>
        <w:t xml:space="preserve">Just as the </w:t>
      </w:r>
      <w:r w:rsidRPr="00EA3EEC">
        <w:rPr>
          <w:i/>
        </w:rPr>
        <w:t>Schiller</w:t>
      </w:r>
      <w:r>
        <w:t xml:space="preserve"> court held that the plaintiff’s claim to copyright of the photographs failed (</w:t>
      </w:r>
      <w:r w:rsidRPr="00EA3EEC">
        <w:rPr>
          <w:i/>
        </w:rPr>
        <w:t>Id</w:t>
      </w:r>
      <w:r>
        <w:t>. at 412), the Court should hold that OGS’s claim to copyright of “Anticipatory Repudiation” fails</w:t>
      </w:r>
      <w:r w:rsidR="006E1786">
        <w:t>, as the work made for hire agreement was not signed before creation</w:t>
      </w:r>
      <w:r>
        <w:t>.   Additionally, t</w:t>
      </w:r>
      <w:r w:rsidRPr="003C0089">
        <w:rPr>
          <w:szCs w:val="24"/>
        </w:rPr>
        <w:t>he prevention of false</w:t>
      </w:r>
      <w:r>
        <w:rPr>
          <w:szCs w:val="24"/>
        </w:rPr>
        <w:t xml:space="preserve"> claims of oral agreements is </w:t>
      </w:r>
      <w:r w:rsidRPr="003C0089">
        <w:rPr>
          <w:szCs w:val="24"/>
        </w:rPr>
        <w:t xml:space="preserve">desirable for both the parties involved and the court system.  If oral agreements were deemed </w:t>
      </w:r>
      <w:r w:rsidR="006E1786">
        <w:rPr>
          <w:szCs w:val="24"/>
        </w:rPr>
        <w:t>in</w:t>
      </w:r>
      <w:r w:rsidRPr="003C0089">
        <w:rPr>
          <w:szCs w:val="24"/>
        </w:rPr>
        <w:t>valid in the formation of a work for hire agreement, claims of oral agreement</w:t>
      </w:r>
      <w:r w:rsidR="006E1786">
        <w:rPr>
          <w:szCs w:val="24"/>
        </w:rPr>
        <w:t>s would be instantly dismissed</w:t>
      </w:r>
      <w:r w:rsidRPr="003C0089">
        <w:rPr>
          <w:szCs w:val="24"/>
        </w:rPr>
        <w:t xml:space="preserve">.  There would be no need for </w:t>
      </w:r>
      <w:proofErr w:type="gramStart"/>
      <w:r w:rsidRPr="003C0089">
        <w:rPr>
          <w:szCs w:val="24"/>
        </w:rPr>
        <w:t>litigation</w:t>
      </w:r>
      <w:proofErr w:type="gramEnd"/>
      <w:r w:rsidRPr="003C0089">
        <w:rPr>
          <w:szCs w:val="24"/>
        </w:rPr>
        <w:t xml:space="preserve"> as the matter would already be decided</w:t>
      </w:r>
      <w:r>
        <w:rPr>
          <w:szCs w:val="24"/>
        </w:rPr>
        <w:t>.</w:t>
      </w:r>
      <w:r w:rsidRPr="00454733">
        <w:rPr>
          <w:szCs w:val="24"/>
        </w:rPr>
        <w:t xml:space="preserve">  </w:t>
      </w:r>
      <w:r>
        <w:rPr>
          <w:szCs w:val="24"/>
        </w:rPr>
        <w:t xml:space="preserve">In keeping with </w:t>
      </w:r>
      <w:r w:rsidRPr="003C0089">
        <w:rPr>
          <w:i/>
          <w:szCs w:val="24"/>
        </w:rPr>
        <w:t>Schiller</w:t>
      </w:r>
      <w:r>
        <w:rPr>
          <w:szCs w:val="24"/>
        </w:rPr>
        <w:t xml:space="preserve">, and in order to prevent false claims, </w:t>
      </w:r>
      <w:r w:rsidR="00EA3EEC">
        <w:t xml:space="preserve">Ms. Lime and TinyTV’s motion to dismiss should be granted.  </w:t>
      </w:r>
    </w:p>
    <w:p w14:paraId="7745C9F8" w14:textId="77777777" w:rsidR="00DD1C61" w:rsidRPr="006E1786" w:rsidRDefault="00DD1C61" w:rsidP="006E1786">
      <w:pPr>
        <w:pStyle w:val="ListParagraph"/>
        <w:widowControl/>
        <w:numPr>
          <w:ilvl w:val="1"/>
          <w:numId w:val="4"/>
        </w:numPr>
        <w:spacing w:line="480" w:lineRule="auto"/>
        <w:rPr>
          <w:snapToGrid/>
          <w:szCs w:val="24"/>
        </w:rPr>
      </w:pPr>
      <w:r w:rsidRPr="006E1786">
        <w:rPr>
          <w:b/>
          <w:szCs w:val="24"/>
        </w:rPr>
        <w:t xml:space="preserve">Case </w:t>
      </w:r>
      <w:r w:rsidR="00BC2F04" w:rsidRPr="006E1786">
        <w:rPr>
          <w:b/>
          <w:szCs w:val="24"/>
        </w:rPr>
        <w:t>l</w:t>
      </w:r>
      <w:r w:rsidRPr="006E1786">
        <w:rPr>
          <w:b/>
          <w:szCs w:val="24"/>
        </w:rPr>
        <w:t xml:space="preserve">aw </w:t>
      </w:r>
      <w:r w:rsidR="00BC2F04" w:rsidRPr="006E1786">
        <w:rPr>
          <w:b/>
          <w:szCs w:val="24"/>
        </w:rPr>
        <w:t>i</w:t>
      </w:r>
      <w:r w:rsidRPr="006E1786">
        <w:rPr>
          <w:b/>
          <w:szCs w:val="24"/>
        </w:rPr>
        <w:t xml:space="preserve">ndicates </w:t>
      </w:r>
      <w:proofErr w:type="gramStart"/>
      <w:r w:rsidRPr="006E1786">
        <w:rPr>
          <w:b/>
          <w:szCs w:val="24"/>
        </w:rPr>
        <w:t xml:space="preserve">a </w:t>
      </w:r>
      <w:r w:rsidR="00BC2F04" w:rsidRPr="006E1786">
        <w:rPr>
          <w:b/>
          <w:szCs w:val="24"/>
        </w:rPr>
        <w:t>w</w:t>
      </w:r>
      <w:r w:rsidRPr="006E1786">
        <w:rPr>
          <w:b/>
          <w:szCs w:val="24"/>
        </w:rPr>
        <w:t>riting</w:t>
      </w:r>
      <w:proofErr w:type="gramEnd"/>
      <w:r w:rsidRPr="006E1786">
        <w:rPr>
          <w:b/>
          <w:szCs w:val="24"/>
        </w:rPr>
        <w:t xml:space="preserve"> </w:t>
      </w:r>
      <w:r w:rsidR="00BC2F04" w:rsidRPr="006E1786">
        <w:rPr>
          <w:b/>
          <w:szCs w:val="24"/>
        </w:rPr>
        <w:t>m</w:t>
      </w:r>
      <w:r w:rsidRPr="006E1786">
        <w:rPr>
          <w:b/>
          <w:szCs w:val="24"/>
        </w:rPr>
        <w:t xml:space="preserve">ust </w:t>
      </w:r>
      <w:r w:rsidR="00BC2F04" w:rsidRPr="006E1786">
        <w:rPr>
          <w:b/>
          <w:szCs w:val="24"/>
        </w:rPr>
        <w:t>precede c</w:t>
      </w:r>
      <w:r w:rsidRPr="006E1786">
        <w:rPr>
          <w:b/>
          <w:szCs w:val="24"/>
        </w:rPr>
        <w:t xml:space="preserve">reation in </w:t>
      </w:r>
      <w:r w:rsidR="00BC2F04" w:rsidRPr="006E1786">
        <w:rPr>
          <w:b/>
          <w:szCs w:val="24"/>
        </w:rPr>
        <w:t>o</w:t>
      </w:r>
      <w:r w:rsidRPr="006E1786">
        <w:rPr>
          <w:b/>
          <w:szCs w:val="24"/>
        </w:rPr>
        <w:t xml:space="preserve">rder to </w:t>
      </w:r>
      <w:r w:rsidR="00BC2F04" w:rsidRPr="006E1786">
        <w:rPr>
          <w:b/>
          <w:szCs w:val="24"/>
        </w:rPr>
        <w:t>i</w:t>
      </w:r>
      <w:r w:rsidRPr="006E1786">
        <w:rPr>
          <w:b/>
          <w:szCs w:val="24"/>
        </w:rPr>
        <w:t xml:space="preserve">ncrease </w:t>
      </w:r>
      <w:r w:rsidR="00BC2F04" w:rsidRPr="006E1786">
        <w:rPr>
          <w:b/>
          <w:szCs w:val="24"/>
        </w:rPr>
        <w:t>the p</w:t>
      </w:r>
      <w:r w:rsidRPr="006E1786">
        <w:rPr>
          <w:b/>
          <w:szCs w:val="24"/>
        </w:rPr>
        <w:t xml:space="preserve">redictability of </w:t>
      </w:r>
      <w:r w:rsidR="00BC2F04" w:rsidRPr="006E1786">
        <w:rPr>
          <w:b/>
          <w:szCs w:val="24"/>
        </w:rPr>
        <w:t>o</w:t>
      </w:r>
      <w:r w:rsidRPr="006E1786">
        <w:rPr>
          <w:b/>
          <w:szCs w:val="24"/>
        </w:rPr>
        <w:t xml:space="preserve">wnership of a </w:t>
      </w:r>
      <w:r w:rsidR="00BC2F04" w:rsidRPr="006E1786">
        <w:rPr>
          <w:b/>
          <w:szCs w:val="24"/>
        </w:rPr>
        <w:t>w</w:t>
      </w:r>
      <w:r w:rsidRPr="006E1786">
        <w:rPr>
          <w:b/>
          <w:szCs w:val="24"/>
        </w:rPr>
        <w:t>ork</w:t>
      </w:r>
      <w:r w:rsidR="00BC2F04" w:rsidRPr="006E1786">
        <w:rPr>
          <w:b/>
          <w:szCs w:val="24"/>
        </w:rPr>
        <w:t>.</w:t>
      </w:r>
    </w:p>
    <w:p w14:paraId="4B623331" w14:textId="77777777" w:rsidR="006E1786" w:rsidRDefault="008D0A6F" w:rsidP="00BC2F04">
      <w:pPr>
        <w:spacing w:line="480" w:lineRule="auto"/>
        <w:ind w:firstLine="720"/>
        <w:contextualSpacing/>
        <w:rPr>
          <w:snapToGrid/>
          <w:szCs w:val="24"/>
        </w:rPr>
      </w:pPr>
      <w:r>
        <w:rPr>
          <w:szCs w:val="24"/>
        </w:rPr>
        <w:t xml:space="preserve">Three years prior to the </w:t>
      </w:r>
      <w:r>
        <w:rPr>
          <w:i/>
          <w:szCs w:val="24"/>
        </w:rPr>
        <w:t xml:space="preserve">Schiller </w:t>
      </w:r>
      <w:r>
        <w:rPr>
          <w:szCs w:val="24"/>
        </w:rPr>
        <w:t>decision, t</w:t>
      </w:r>
      <w:r w:rsidR="001710E5">
        <w:rPr>
          <w:szCs w:val="24"/>
        </w:rPr>
        <w:t>he United States</w:t>
      </w:r>
      <w:r w:rsidR="0094427D" w:rsidRPr="00454733">
        <w:rPr>
          <w:szCs w:val="24"/>
        </w:rPr>
        <w:t xml:space="preserve"> Supreme Court </w:t>
      </w:r>
      <w:r w:rsidR="001710E5">
        <w:rPr>
          <w:szCs w:val="24"/>
        </w:rPr>
        <w:t>emphasize</w:t>
      </w:r>
      <w:r>
        <w:rPr>
          <w:szCs w:val="24"/>
        </w:rPr>
        <w:t>d</w:t>
      </w:r>
      <w:r w:rsidR="001710E5">
        <w:rPr>
          <w:szCs w:val="24"/>
        </w:rPr>
        <w:t xml:space="preserve"> the importance of the </w:t>
      </w:r>
      <w:r w:rsidR="001710E5" w:rsidRPr="008D0A6F">
        <w:rPr>
          <w:i/>
          <w:szCs w:val="24"/>
        </w:rPr>
        <w:t>Schiller</w:t>
      </w:r>
      <w:r w:rsidR="001710E5">
        <w:rPr>
          <w:szCs w:val="24"/>
        </w:rPr>
        <w:t xml:space="preserve"> court’s second </w:t>
      </w:r>
      <w:r>
        <w:rPr>
          <w:szCs w:val="24"/>
        </w:rPr>
        <w:t>objective</w:t>
      </w:r>
      <w:r w:rsidR="001710E5">
        <w:rPr>
          <w:szCs w:val="24"/>
        </w:rPr>
        <w:t xml:space="preserve">: predictability of ownership in work made for hire agreements. </w:t>
      </w:r>
      <w:r w:rsidR="0094427D" w:rsidRPr="00454733">
        <w:rPr>
          <w:szCs w:val="24"/>
        </w:rPr>
        <w:t xml:space="preserve"> </w:t>
      </w:r>
      <w:r w:rsidR="002112E1" w:rsidRPr="00454733">
        <w:rPr>
          <w:i/>
          <w:szCs w:val="24"/>
        </w:rPr>
        <w:t>Cmty.</w:t>
      </w:r>
      <w:r w:rsidR="0094427D" w:rsidRPr="00454733">
        <w:rPr>
          <w:i/>
          <w:szCs w:val="24"/>
        </w:rPr>
        <w:t xml:space="preserve"> </w:t>
      </w:r>
      <w:proofErr w:type="gramStart"/>
      <w:r w:rsidR="0094427D" w:rsidRPr="00454733">
        <w:rPr>
          <w:i/>
          <w:szCs w:val="24"/>
        </w:rPr>
        <w:t>for</w:t>
      </w:r>
      <w:proofErr w:type="gramEnd"/>
      <w:r w:rsidR="0094427D" w:rsidRPr="00454733">
        <w:rPr>
          <w:i/>
          <w:szCs w:val="24"/>
        </w:rPr>
        <w:t xml:space="preserve"> Creative Non-Violence </w:t>
      </w:r>
      <w:r w:rsidR="00570C75" w:rsidRPr="00454733">
        <w:rPr>
          <w:szCs w:val="24"/>
        </w:rPr>
        <w:t>490 U.S. at 749</w:t>
      </w:r>
      <w:r w:rsidR="0094427D" w:rsidRPr="00454733">
        <w:rPr>
          <w:szCs w:val="24"/>
        </w:rPr>
        <w:t xml:space="preserve">.  </w:t>
      </w:r>
      <w:r w:rsidR="001710E5">
        <w:rPr>
          <w:szCs w:val="24"/>
        </w:rPr>
        <w:t>T</w:t>
      </w:r>
      <w:r w:rsidR="000772C8" w:rsidRPr="00454733">
        <w:rPr>
          <w:szCs w:val="24"/>
        </w:rPr>
        <w:t xml:space="preserve">he Court </w:t>
      </w:r>
      <w:r w:rsidR="00DA1C41">
        <w:rPr>
          <w:szCs w:val="24"/>
        </w:rPr>
        <w:t>discusses</w:t>
      </w:r>
      <w:r w:rsidR="006B563A">
        <w:rPr>
          <w:szCs w:val="24"/>
        </w:rPr>
        <w:t xml:space="preserve"> the</w:t>
      </w:r>
      <w:r w:rsidR="000772C8" w:rsidRPr="00454733">
        <w:rPr>
          <w:szCs w:val="24"/>
        </w:rPr>
        <w:t xml:space="preserve"> legislature’s intent in enacting the Copyright Act of 1976, stating the legislature’s “paramount goal,” of the revision was to “</w:t>
      </w:r>
      <w:proofErr w:type="gramStart"/>
      <w:r w:rsidR="000772C8" w:rsidRPr="00454733">
        <w:rPr>
          <w:rStyle w:val="cohl"/>
          <w:szCs w:val="24"/>
        </w:rPr>
        <w:t>enhance[</w:t>
      </w:r>
      <w:proofErr w:type="gramEnd"/>
      <w:r w:rsidR="000772C8" w:rsidRPr="00454733">
        <w:rPr>
          <w:rStyle w:val="cohl"/>
          <w:szCs w:val="24"/>
        </w:rPr>
        <w:t xml:space="preserve">e] predictability and certainty of copyright ownership.”  </w:t>
      </w:r>
      <w:proofErr w:type="gramStart"/>
      <w:r w:rsidR="000772C8" w:rsidRPr="00454733">
        <w:rPr>
          <w:rStyle w:val="cohl"/>
          <w:i/>
          <w:szCs w:val="24"/>
        </w:rPr>
        <w:t>Id</w:t>
      </w:r>
      <w:r w:rsidR="00DA1C41">
        <w:rPr>
          <w:rStyle w:val="cohl"/>
          <w:szCs w:val="24"/>
        </w:rPr>
        <w:t>. at 729.</w:t>
      </w:r>
      <w:proofErr w:type="gramEnd"/>
      <w:r w:rsidR="001B507D">
        <w:rPr>
          <w:snapToGrid/>
          <w:szCs w:val="24"/>
        </w:rPr>
        <w:t xml:space="preserve"> </w:t>
      </w:r>
      <w:r w:rsidR="00EC5260">
        <w:rPr>
          <w:snapToGrid/>
          <w:szCs w:val="24"/>
        </w:rPr>
        <w:t xml:space="preserve"> </w:t>
      </w:r>
      <w:r w:rsidR="00DA1C41">
        <w:rPr>
          <w:snapToGrid/>
          <w:szCs w:val="24"/>
        </w:rPr>
        <w:t xml:space="preserve">Although the </w:t>
      </w:r>
      <w:r w:rsidR="00DA1C41" w:rsidRPr="00DA1C41">
        <w:rPr>
          <w:i/>
          <w:snapToGrid/>
          <w:szCs w:val="24"/>
        </w:rPr>
        <w:t>Cmty</w:t>
      </w:r>
      <w:r w:rsidR="00DA1C41">
        <w:rPr>
          <w:i/>
          <w:snapToGrid/>
          <w:szCs w:val="24"/>
        </w:rPr>
        <w:t>.</w:t>
      </w:r>
      <w:r w:rsidR="00DA1C41" w:rsidRPr="00DA1C41">
        <w:rPr>
          <w:i/>
          <w:snapToGrid/>
          <w:szCs w:val="24"/>
        </w:rPr>
        <w:t xml:space="preserve"> </w:t>
      </w:r>
      <w:proofErr w:type="gramStart"/>
      <w:r w:rsidR="00DA1C41" w:rsidRPr="00DA1C41">
        <w:rPr>
          <w:i/>
          <w:snapToGrid/>
          <w:szCs w:val="24"/>
        </w:rPr>
        <w:t>for</w:t>
      </w:r>
      <w:proofErr w:type="gramEnd"/>
      <w:r w:rsidR="00DA1C41" w:rsidRPr="00DA1C41">
        <w:rPr>
          <w:i/>
          <w:snapToGrid/>
          <w:szCs w:val="24"/>
        </w:rPr>
        <w:t xml:space="preserve"> </w:t>
      </w:r>
      <w:r>
        <w:rPr>
          <w:i/>
          <w:snapToGrid/>
          <w:szCs w:val="24"/>
        </w:rPr>
        <w:t xml:space="preserve">Creative </w:t>
      </w:r>
      <w:r w:rsidR="00DA1C41" w:rsidRPr="00DA1C41">
        <w:rPr>
          <w:i/>
          <w:snapToGrid/>
          <w:szCs w:val="24"/>
        </w:rPr>
        <w:t>Non-Violence</w:t>
      </w:r>
      <w:r w:rsidR="00DA1C41">
        <w:rPr>
          <w:snapToGrid/>
          <w:szCs w:val="24"/>
        </w:rPr>
        <w:t xml:space="preserve"> Court does not make an explicit statement regarding the requirement of a writing prior to creation, its assessment of the </w:t>
      </w:r>
      <w:r w:rsidR="00DA1C41">
        <w:rPr>
          <w:snapToGrid/>
          <w:szCs w:val="24"/>
        </w:rPr>
        <w:lastRenderedPageBreak/>
        <w:t xml:space="preserve">legislature’s intent in enacting the Copyright Act of 1976 aligns with such a requirement.  </w:t>
      </w:r>
    </w:p>
    <w:p w14:paraId="1152C1A2" w14:textId="77777777" w:rsidR="00DA1C41" w:rsidRDefault="001B507D" w:rsidP="00BC2F04">
      <w:pPr>
        <w:spacing w:line="480" w:lineRule="auto"/>
        <w:ind w:firstLine="720"/>
        <w:contextualSpacing/>
        <w:rPr>
          <w:snapToGrid/>
          <w:szCs w:val="24"/>
        </w:rPr>
      </w:pPr>
      <w:r>
        <w:rPr>
          <w:rStyle w:val="cohl"/>
          <w:szCs w:val="24"/>
        </w:rPr>
        <w:t>The</w:t>
      </w:r>
      <w:r w:rsidR="000772C8" w:rsidRPr="00454733">
        <w:rPr>
          <w:rStyle w:val="cohl"/>
          <w:szCs w:val="24"/>
        </w:rPr>
        <w:t xml:space="preserve"> sentiment</w:t>
      </w:r>
      <w:r>
        <w:rPr>
          <w:rStyle w:val="cohl"/>
          <w:szCs w:val="24"/>
        </w:rPr>
        <w:t xml:space="preserve"> of the </w:t>
      </w:r>
      <w:r w:rsidR="00DA1C41">
        <w:rPr>
          <w:rStyle w:val="cohl"/>
          <w:szCs w:val="24"/>
        </w:rPr>
        <w:t xml:space="preserve">United States </w:t>
      </w:r>
      <w:r>
        <w:rPr>
          <w:rStyle w:val="cohl"/>
          <w:szCs w:val="24"/>
        </w:rPr>
        <w:t xml:space="preserve">Supreme Court in </w:t>
      </w:r>
      <w:r w:rsidRPr="001B507D">
        <w:rPr>
          <w:rStyle w:val="cohl"/>
          <w:i/>
          <w:szCs w:val="24"/>
        </w:rPr>
        <w:t xml:space="preserve">Cmty for </w:t>
      </w:r>
      <w:r w:rsidR="008D0A6F">
        <w:rPr>
          <w:rStyle w:val="cohl"/>
          <w:i/>
          <w:szCs w:val="24"/>
        </w:rPr>
        <w:t xml:space="preserve">Creative </w:t>
      </w:r>
      <w:r w:rsidRPr="001B507D">
        <w:rPr>
          <w:rStyle w:val="cohl"/>
          <w:i/>
          <w:szCs w:val="24"/>
        </w:rPr>
        <w:t>Non-Violence</w:t>
      </w:r>
      <w:r w:rsidR="000772C8" w:rsidRPr="00454733">
        <w:rPr>
          <w:rStyle w:val="cohl"/>
          <w:szCs w:val="24"/>
        </w:rPr>
        <w:t xml:space="preserve">, which was echoed three years later in </w:t>
      </w:r>
      <w:r w:rsidR="000772C8" w:rsidRPr="00454733">
        <w:rPr>
          <w:rStyle w:val="cohl"/>
          <w:i/>
          <w:szCs w:val="24"/>
        </w:rPr>
        <w:t>Schiller</w:t>
      </w:r>
      <w:r w:rsidR="000772C8" w:rsidRPr="00454733">
        <w:rPr>
          <w:rStyle w:val="cohl"/>
          <w:szCs w:val="24"/>
        </w:rPr>
        <w:t xml:space="preserve">, resonates in the assertions of Ms. Lime and TinyTV.  </w:t>
      </w:r>
      <w:r>
        <w:rPr>
          <w:rStyle w:val="cohl"/>
          <w:i/>
          <w:szCs w:val="24"/>
        </w:rPr>
        <w:t>Id.</w:t>
      </w:r>
      <w:r>
        <w:rPr>
          <w:rStyle w:val="cohl"/>
          <w:szCs w:val="24"/>
        </w:rPr>
        <w:t xml:space="preserve">at 729.  </w:t>
      </w:r>
      <w:r>
        <w:rPr>
          <w:rStyle w:val="cohl"/>
          <w:i/>
          <w:szCs w:val="24"/>
        </w:rPr>
        <w:t xml:space="preserve"> </w:t>
      </w:r>
      <w:proofErr w:type="gramStart"/>
      <w:r w:rsidRPr="00454733">
        <w:rPr>
          <w:i/>
          <w:snapToGrid/>
          <w:szCs w:val="24"/>
        </w:rPr>
        <w:t xml:space="preserve">Schiller &amp; Schmidt, </w:t>
      </w:r>
      <w:r w:rsidRPr="00454733">
        <w:rPr>
          <w:snapToGrid/>
          <w:szCs w:val="24"/>
        </w:rPr>
        <w:t>9</w:t>
      </w:r>
      <w:r>
        <w:rPr>
          <w:snapToGrid/>
          <w:szCs w:val="24"/>
        </w:rPr>
        <w:t>69 F.2d at 413</w:t>
      </w:r>
      <w:r w:rsidRPr="00454733">
        <w:rPr>
          <w:snapToGrid/>
          <w:szCs w:val="24"/>
        </w:rPr>
        <w:t>.</w:t>
      </w:r>
      <w:proofErr w:type="gramEnd"/>
      <w:r w:rsidR="00DA1C41">
        <w:rPr>
          <w:snapToGrid/>
          <w:szCs w:val="24"/>
        </w:rPr>
        <w:t xml:space="preserve">  </w:t>
      </w:r>
      <w:r w:rsidR="006748A8">
        <w:rPr>
          <w:snapToGrid/>
          <w:szCs w:val="24"/>
        </w:rPr>
        <w:t>Predictability and certainty of the ownership of works made for hire would be enhanced by a</w:t>
      </w:r>
      <w:r w:rsidR="008D0A6F">
        <w:rPr>
          <w:snapToGrid/>
          <w:szCs w:val="24"/>
        </w:rPr>
        <w:t xml:space="preserve"> brightline rule requiring </w:t>
      </w:r>
      <w:proofErr w:type="gramStart"/>
      <w:r w:rsidR="008D0A6F">
        <w:rPr>
          <w:snapToGrid/>
          <w:szCs w:val="24"/>
        </w:rPr>
        <w:t>a writing</w:t>
      </w:r>
      <w:proofErr w:type="gramEnd"/>
      <w:r w:rsidR="008D0A6F">
        <w:rPr>
          <w:snapToGrid/>
          <w:szCs w:val="24"/>
        </w:rPr>
        <w:t xml:space="preserve"> prior to the creation of a work made for hire</w:t>
      </w:r>
      <w:r w:rsidR="006748A8">
        <w:rPr>
          <w:snapToGrid/>
          <w:szCs w:val="24"/>
        </w:rPr>
        <w:t>, and the Court should put such a rule in place</w:t>
      </w:r>
      <w:r w:rsidR="008D0A6F">
        <w:rPr>
          <w:snapToGrid/>
          <w:szCs w:val="24"/>
        </w:rPr>
        <w:t xml:space="preserve">.  </w:t>
      </w:r>
      <w:r w:rsidR="003C0089" w:rsidRPr="003C0089">
        <w:rPr>
          <w:snapToGrid/>
          <w:szCs w:val="24"/>
        </w:rPr>
        <w:t>Predictability of ownership allows a work to be fully appreciated of and timely marketed.  When ownership is in dispute, the benefits of a created work are not enjoyed</w:t>
      </w:r>
      <w:r w:rsidR="003C0089">
        <w:rPr>
          <w:snapToGrid/>
          <w:szCs w:val="24"/>
        </w:rPr>
        <w:t xml:space="preserve">.  </w:t>
      </w:r>
      <w:r w:rsidR="008D0A6F">
        <w:rPr>
          <w:snapToGrid/>
          <w:szCs w:val="24"/>
        </w:rPr>
        <w:t xml:space="preserve">As no writing was signed prior to Ms. Lime’s creation of “Anticipatory Repudiation,” Ms. Lime holds the </w:t>
      </w:r>
      <w:r w:rsidR="003C0089">
        <w:rPr>
          <w:snapToGrid/>
          <w:szCs w:val="24"/>
        </w:rPr>
        <w:t xml:space="preserve">copyright to the screenplay.  In order to enhance predictability of ownership, </w:t>
      </w:r>
      <w:r w:rsidR="008D0A6F">
        <w:rPr>
          <w:snapToGrid/>
          <w:szCs w:val="24"/>
        </w:rPr>
        <w:t>Ms. Lime and TinyTV’s motion should be granted.</w:t>
      </w:r>
    </w:p>
    <w:p w14:paraId="2EDB2DBB" w14:textId="77777777" w:rsidR="001B507D" w:rsidRPr="001B507D" w:rsidRDefault="001B507D" w:rsidP="006E1786">
      <w:pPr>
        <w:pStyle w:val="ListParagraph"/>
        <w:widowControl/>
        <w:numPr>
          <w:ilvl w:val="1"/>
          <w:numId w:val="4"/>
        </w:numPr>
        <w:spacing w:line="480" w:lineRule="auto"/>
        <w:rPr>
          <w:rStyle w:val="cohl"/>
          <w:snapToGrid/>
          <w:szCs w:val="24"/>
        </w:rPr>
      </w:pPr>
      <w:r w:rsidRPr="001B507D">
        <w:rPr>
          <w:b/>
          <w:szCs w:val="24"/>
        </w:rPr>
        <w:t>OGS’s</w:t>
      </w:r>
      <w:r w:rsidR="00AB588E">
        <w:rPr>
          <w:b/>
          <w:szCs w:val="24"/>
        </w:rPr>
        <w:t xml:space="preserve"> reliance</w:t>
      </w:r>
      <w:r>
        <w:rPr>
          <w:b/>
          <w:szCs w:val="24"/>
        </w:rPr>
        <w:t xml:space="preserve"> on </w:t>
      </w:r>
      <w:r w:rsidRPr="001B507D">
        <w:rPr>
          <w:b/>
          <w:i/>
          <w:szCs w:val="24"/>
        </w:rPr>
        <w:t>Playboy v. Dumas</w:t>
      </w:r>
      <w:r>
        <w:rPr>
          <w:b/>
          <w:szCs w:val="24"/>
        </w:rPr>
        <w:t xml:space="preserve"> is </w:t>
      </w:r>
      <w:proofErr w:type="gramStart"/>
      <w:r w:rsidR="00AB588E">
        <w:rPr>
          <w:b/>
          <w:szCs w:val="24"/>
        </w:rPr>
        <w:t>m</w:t>
      </w:r>
      <w:r>
        <w:rPr>
          <w:b/>
          <w:szCs w:val="24"/>
        </w:rPr>
        <w:t>isplaced</w:t>
      </w:r>
      <w:proofErr w:type="gramEnd"/>
      <w:r>
        <w:rPr>
          <w:b/>
          <w:szCs w:val="24"/>
        </w:rPr>
        <w:t xml:space="preserve"> as the </w:t>
      </w:r>
      <w:r w:rsidR="00AB588E">
        <w:rPr>
          <w:b/>
          <w:szCs w:val="24"/>
        </w:rPr>
        <w:t>c</w:t>
      </w:r>
      <w:r>
        <w:rPr>
          <w:b/>
          <w:szCs w:val="24"/>
        </w:rPr>
        <w:t xml:space="preserve">ase </w:t>
      </w:r>
      <w:r w:rsidR="00AB588E">
        <w:rPr>
          <w:b/>
          <w:szCs w:val="24"/>
        </w:rPr>
        <w:t>does not align with Congressional intent regarding works made for hire.</w:t>
      </w:r>
    </w:p>
    <w:p w14:paraId="29763C85" w14:textId="77777777" w:rsidR="006B563A" w:rsidRPr="00FB53F6" w:rsidRDefault="00AE2CD7" w:rsidP="00BC2F04">
      <w:pPr>
        <w:spacing w:line="480" w:lineRule="auto"/>
        <w:ind w:firstLine="720"/>
        <w:contextualSpacing/>
        <w:rPr>
          <w:snapToGrid/>
          <w:szCs w:val="24"/>
        </w:rPr>
      </w:pPr>
      <w:r w:rsidRPr="00454733">
        <w:rPr>
          <w:snapToGrid/>
          <w:szCs w:val="24"/>
        </w:rPr>
        <w:t xml:space="preserve">OGS relies on a case decided by </w:t>
      </w:r>
      <w:r w:rsidR="000C071B" w:rsidRPr="00454733">
        <w:rPr>
          <w:snapToGrid/>
          <w:szCs w:val="24"/>
        </w:rPr>
        <w:t xml:space="preserve">the Second Circuit </w:t>
      </w:r>
      <w:r w:rsidRPr="00454733">
        <w:rPr>
          <w:snapToGrid/>
          <w:szCs w:val="24"/>
        </w:rPr>
        <w:t xml:space="preserve">which holds that </w:t>
      </w:r>
      <w:r w:rsidR="000C071B" w:rsidRPr="00454733">
        <w:rPr>
          <w:snapToGrid/>
          <w:szCs w:val="24"/>
        </w:rPr>
        <w:t xml:space="preserve">paintings commissioned by the hiring party qualify as works made for hire because checks paid subsequent to creation serve to meet the signed writing requirement.  </w:t>
      </w:r>
      <w:r w:rsidR="00A46F47" w:rsidRPr="00454733">
        <w:rPr>
          <w:i/>
          <w:snapToGrid/>
          <w:szCs w:val="24"/>
        </w:rPr>
        <w:t>Playboy Enter</w:t>
      </w:r>
      <w:r w:rsidR="000C071B" w:rsidRPr="00454733">
        <w:rPr>
          <w:i/>
          <w:snapToGrid/>
          <w:szCs w:val="24"/>
        </w:rPr>
        <w:t>s. v. Dumas</w:t>
      </w:r>
      <w:r w:rsidR="000C071B" w:rsidRPr="00454733">
        <w:rPr>
          <w:snapToGrid/>
          <w:szCs w:val="24"/>
        </w:rPr>
        <w:t xml:space="preserve">, 960 F. Supp. 710, 723 (S.D.N.Y. 1997) </w:t>
      </w:r>
      <w:r w:rsidR="000C071B" w:rsidRPr="00454733">
        <w:rPr>
          <w:i/>
          <w:snapToGrid/>
          <w:szCs w:val="24"/>
        </w:rPr>
        <w:t>aff'd</w:t>
      </w:r>
      <w:r w:rsidR="000C071B" w:rsidRPr="00454733">
        <w:rPr>
          <w:snapToGrid/>
          <w:szCs w:val="24"/>
          <w:u w:val="single"/>
        </w:rPr>
        <w:t>,</w:t>
      </w:r>
      <w:r w:rsidR="000C071B" w:rsidRPr="00454733">
        <w:rPr>
          <w:snapToGrid/>
          <w:szCs w:val="24"/>
        </w:rPr>
        <w:t xml:space="preserve"> 159 F.3d 1347 (2d Cir. 1998).  </w:t>
      </w:r>
      <w:r w:rsidR="00AB588E">
        <w:rPr>
          <w:snapToGrid/>
          <w:szCs w:val="24"/>
        </w:rPr>
        <w:t xml:space="preserve">The </w:t>
      </w:r>
      <w:r w:rsidR="00AB588E">
        <w:rPr>
          <w:i/>
          <w:snapToGrid/>
          <w:szCs w:val="24"/>
        </w:rPr>
        <w:t xml:space="preserve">Playboy </w:t>
      </w:r>
      <w:r w:rsidR="00AB588E">
        <w:rPr>
          <w:snapToGrid/>
          <w:szCs w:val="24"/>
        </w:rPr>
        <w:t xml:space="preserve">court’s determination that the checks meet the written instrument requirement does not align with 17 U.S.C.  </w:t>
      </w:r>
      <w:r w:rsidR="00DA5404">
        <w:rPr>
          <w:snapToGrid/>
          <w:szCs w:val="24"/>
        </w:rPr>
        <w:t xml:space="preserve">The plain language and legislative history demonstrate that Congress intended that </w:t>
      </w:r>
      <w:proofErr w:type="gramStart"/>
      <w:r w:rsidR="00DA5404">
        <w:rPr>
          <w:snapToGrid/>
          <w:szCs w:val="24"/>
        </w:rPr>
        <w:t>a writing</w:t>
      </w:r>
      <w:proofErr w:type="gramEnd"/>
      <w:r w:rsidR="00DA5404">
        <w:rPr>
          <w:snapToGrid/>
          <w:szCs w:val="24"/>
        </w:rPr>
        <w:t xml:space="preserve"> be signed prior to creation.  </w:t>
      </w:r>
      <w:r w:rsidR="00AB588E">
        <w:rPr>
          <w:snapToGrid/>
          <w:szCs w:val="24"/>
        </w:rPr>
        <w:t>Also</w:t>
      </w:r>
      <w:r w:rsidR="00C763D4">
        <w:rPr>
          <w:snapToGrid/>
          <w:szCs w:val="24"/>
        </w:rPr>
        <w:t xml:space="preserve">, a number of </w:t>
      </w:r>
      <w:r w:rsidR="006E1786">
        <w:rPr>
          <w:snapToGrid/>
          <w:szCs w:val="24"/>
        </w:rPr>
        <w:t xml:space="preserve">facts in the </w:t>
      </w:r>
      <w:r w:rsidR="006E1786">
        <w:rPr>
          <w:i/>
          <w:snapToGrid/>
          <w:szCs w:val="24"/>
        </w:rPr>
        <w:t xml:space="preserve">Playboy </w:t>
      </w:r>
      <w:r w:rsidR="006E1786">
        <w:rPr>
          <w:snapToGrid/>
          <w:szCs w:val="24"/>
        </w:rPr>
        <w:t>case,</w:t>
      </w:r>
      <w:r w:rsidR="00C763D4">
        <w:rPr>
          <w:snapToGrid/>
          <w:szCs w:val="24"/>
        </w:rPr>
        <w:t xml:space="preserve"> </w:t>
      </w:r>
      <w:r w:rsidR="00C763D4" w:rsidRPr="00C763D4">
        <w:rPr>
          <w:snapToGrid/>
          <w:szCs w:val="24"/>
        </w:rPr>
        <w:t>including</w:t>
      </w:r>
      <w:r w:rsidR="00C763D4">
        <w:rPr>
          <w:snapToGrid/>
          <w:szCs w:val="24"/>
        </w:rPr>
        <w:t xml:space="preserve"> the prior relationship between the parties, the amount of works created and the length of time over which the works were created serve to distinguish </w:t>
      </w:r>
      <w:r w:rsidR="00C763D4">
        <w:rPr>
          <w:i/>
          <w:snapToGrid/>
          <w:szCs w:val="24"/>
        </w:rPr>
        <w:t>Playboy</w:t>
      </w:r>
      <w:r w:rsidR="00C763D4">
        <w:rPr>
          <w:snapToGrid/>
          <w:szCs w:val="24"/>
        </w:rPr>
        <w:t xml:space="preserve"> from the immediate case.  </w:t>
      </w:r>
      <w:r w:rsidR="005B51B9">
        <w:rPr>
          <w:snapToGrid/>
          <w:szCs w:val="24"/>
        </w:rPr>
        <w:t>The arti</w:t>
      </w:r>
      <w:r w:rsidR="006E1786">
        <w:rPr>
          <w:snapToGrid/>
          <w:szCs w:val="24"/>
        </w:rPr>
        <w:t xml:space="preserve">st created a large number of works for the plaintiff over a period of several years.  </w:t>
      </w:r>
      <w:proofErr w:type="gramStart"/>
      <w:r w:rsidR="006E1786">
        <w:rPr>
          <w:i/>
          <w:snapToGrid/>
          <w:szCs w:val="24"/>
        </w:rPr>
        <w:t xml:space="preserve">Id. </w:t>
      </w:r>
      <w:r w:rsidR="006E1786">
        <w:rPr>
          <w:snapToGrid/>
          <w:szCs w:val="24"/>
        </w:rPr>
        <w:t>at 723.</w:t>
      </w:r>
      <w:proofErr w:type="gramEnd"/>
      <w:r w:rsidR="006E1786">
        <w:rPr>
          <w:snapToGrid/>
          <w:szCs w:val="24"/>
        </w:rPr>
        <w:t xml:space="preserve">  </w:t>
      </w:r>
      <w:r w:rsidR="00C763D4">
        <w:rPr>
          <w:snapToGrid/>
          <w:szCs w:val="24"/>
        </w:rPr>
        <w:t xml:space="preserve">Ms. </w:t>
      </w:r>
      <w:r w:rsidR="00C763D4">
        <w:rPr>
          <w:snapToGrid/>
          <w:szCs w:val="24"/>
        </w:rPr>
        <w:lastRenderedPageBreak/>
        <w:t xml:space="preserve">Lime </w:t>
      </w:r>
      <w:r w:rsidR="00FB53F6">
        <w:rPr>
          <w:snapToGrid/>
          <w:szCs w:val="24"/>
        </w:rPr>
        <w:t xml:space="preserve">created one work for OGS in 2010, and the brevity of their relationship calls for a completely different type of analysis.  The court’s decision in </w:t>
      </w:r>
      <w:proofErr w:type="gramStart"/>
      <w:r w:rsidR="00FB53F6">
        <w:rPr>
          <w:i/>
          <w:snapToGrid/>
          <w:szCs w:val="24"/>
        </w:rPr>
        <w:t xml:space="preserve">Playboy  </w:t>
      </w:r>
      <w:r w:rsidR="00FB53F6">
        <w:rPr>
          <w:snapToGrid/>
          <w:szCs w:val="24"/>
        </w:rPr>
        <w:t>is</w:t>
      </w:r>
      <w:proofErr w:type="gramEnd"/>
      <w:r w:rsidR="00FB53F6">
        <w:rPr>
          <w:snapToGrid/>
          <w:szCs w:val="24"/>
        </w:rPr>
        <w:t xml:space="preserve"> not persuasive and should not be considered in regard to the case at hand.  </w:t>
      </w:r>
    </w:p>
    <w:p w14:paraId="37FC8F23" w14:textId="77777777" w:rsidR="00570C75" w:rsidRPr="00FB53F6" w:rsidRDefault="002112E1" w:rsidP="00BC2F04">
      <w:pPr>
        <w:spacing w:line="480" w:lineRule="auto"/>
        <w:ind w:firstLine="720"/>
        <w:contextualSpacing/>
        <w:rPr>
          <w:szCs w:val="24"/>
        </w:rPr>
      </w:pPr>
      <w:r w:rsidRPr="00454733">
        <w:rPr>
          <w:snapToGrid/>
          <w:szCs w:val="24"/>
        </w:rPr>
        <w:t xml:space="preserve">Case law is divided on the issue of a signed writing, and the </w:t>
      </w:r>
      <w:r w:rsidR="006B563A">
        <w:rPr>
          <w:snapToGrid/>
          <w:szCs w:val="24"/>
        </w:rPr>
        <w:t xml:space="preserve">United States </w:t>
      </w:r>
      <w:r w:rsidRPr="00454733">
        <w:rPr>
          <w:snapToGrid/>
          <w:szCs w:val="24"/>
        </w:rPr>
        <w:t xml:space="preserve">Supreme Court has yet to rule directly on the issue.  </w:t>
      </w:r>
      <w:proofErr w:type="gramStart"/>
      <w:r w:rsidRPr="00454733">
        <w:rPr>
          <w:snapToGrid/>
          <w:szCs w:val="24"/>
        </w:rPr>
        <w:t xml:space="preserve">However, the opinion in </w:t>
      </w:r>
      <w:r w:rsidRPr="00454733">
        <w:rPr>
          <w:i/>
          <w:szCs w:val="24"/>
        </w:rPr>
        <w:t>Cmty.</w:t>
      </w:r>
      <w:proofErr w:type="gramEnd"/>
      <w:r w:rsidRPr="00454733">
        <w:rPr>
          <w:i/>
          <w:szCs w:val="24"/>
        </w:rPr>
        <w:t xml:space="preserve"> </w:t>
      </w:r>
      <w:proofErr w:type="gramStart"/>
      <w:r w:rsidRPr="00454733">
        <w:rPr>
          <w:i/>
          <w:szCs w:val="24"/>
        </w:rPr>
        <w:t>for</w:t>
      </w:r>
      <w:proofErr w:type="gramEnd"/>
      <w:r w:rsidRPr="00454733">
        <w:rPr>
          <w:i/>
          <w:szCs w:val="24"/>
        </w:rPr>
        <w:t xml:space="preserve"> Creative Non-Violence, </w:t>
      </w:r>
      <w:r w:rsidRPr="00454733">
        <w:rPr>
          <w:szCs w:val="24"/>
        </w:rPr>
        <w:t xml:space="preserve">supports Ms. Lime and TinyTV’s position by emphasizing the importance of predictability and certainty of ownership.  </w:t>
      </w:r>
      <w:proofErr w:type="gramStart"/>
      <w:r w:rsidR="00570C75" w:rsidRPr="00454733">
        <w:rPr>
          <w:szCs w:val="24"/>
        </w:rPr>
        <w:t>490 U.S. at 749</w:t>
      </w:r>
      <w:r w:rsidR="009B535A" w:rsidRPr="00454733">
        <w:rPr>
          <w:szCs w:val="24"/>
        </w:rPr>
        <w:t>.</w:t>
      </w:r>
      <w:proofErr w:type="gramEnd"/>
      <w:r w:rsidR="009B535A" w:rsidRPr="00454733">
        <w:rPr>
          <w:szCs w:val="24"/>
        </w:rPr>
        <w:t xml:space="preserve">  </w:t>
      </w:r>
      <w:r w:rsidRPr="00454733">
        <w:rPr>
          <w:szCs w:val="24"/>
        </w:rPr>
        <w:t xml:space="preserve">This indicates a preference for </w:t>
      </w:r>
      <w:r w:rsidR="009B535A" w:rsidRPr="00454733">
        <w:rPr>
          <w:szCs w:val="24"/>
        </w:rPr>
        <w:t xml:space="preserve">the brightline standard requiring a signed writing prior to creation.  Also, the seventh circuit directly affirms </w:t>
      </w:r>
      <w:r w:rsidR="00FB53F6">
        <w:rPr>
          <w:szCs w:val="24"/>
        </w:rPr>
        <w:t>Ms</w:t>
      </w:r>
      <w:proofErr w:type="gramStart"/>
      <w:r w:rsidR="00FB53F6">
        <w:rPr>
          <w:szCs w:val="24"/>
        </w:rPr>
        <w:t>.  Lime</w:t>
      </w:r>
      <w:proofErr w:type="gramEnd"/>
      <w:r w:rsidR="00FB53F6">
        <w:rPr>
          <w:szCs w:val="24"/>
        </w:rPr>
        <w:t xml:space="preserve"> and </w:t>
      </w:r>
      <w:r w:rsidR="00E328E0">
        <w:rPr>
          <w:szCs w:val="24"/>
        </w:rPr>
        <w:t xml:space="preserve">TinyTV’s </w:t>
      </w:r>
      <w:r w:rsidR="00E328E0" w:rsidRPr="00454733">
        <w:rPr>
          <w:szCs w:val="24"/>
        </w:rPr>
        <w:t>position</w:t>
      </w:r>
      <w:r w:rsidR="009B535A" w:rsidRPr="00454733">
        <w:rPr>
          <w:szCs w:val="24"/>
        </w:rPr>
        <w:t xml:space="preserve"> (</w:t>
      </w:r>
      <w:r w:rsidR="009B535A" w:rsidRPr="00454733">
        <w:rPr>
          <w:i/>
          <w:snapToGrid/>
          <w:szCs w:val="24"/>
        </w:rPr>
        <w:t xml:space="preserve">Schiller &amp; Schmidt, Inc. </w:t>
      </w:r>
      <w:r w:rsidR="009B535A" w:rsidRPr="00454733">
        <w:rPr>
          <w:snapToGrid/>
          <w:szCs w:val="24"/>
        </w:rPr>
        <w:t>9</w:t>
      </w:r>
      <w:r w:rsidR="00570C75" w:rsidRPr="00454733">
        <w:rPr>
          <w:snapToGrid/>
          <w:szCs w:val="24"/>
        </w:rPr>
        <w:t>69 F.2d at 413</w:t>
      </w:r>
      <w:r w:rsidR="00E328E0">
        <w:rPr>
          <w:snapToGrid/>
          <w:szCs w:val="24"/>
        </w:rPr>
        <w:t>)</w:t>
      </w:r>
      <w:r w:rsidR="00570C75" w:rsidRPr="00454733">
        <w:rPr>
          <w:snapToGrid/>
          <w:szCs w:val="24"/>
        </w:rPr>
        <w:t>.</w:t>
      </w:r>
      <w:r w:rsidR="009711F6" w:rsidRPr="00454733">
        <w:rPr>
          <w:snapToGrid/>
          <w:szCs w:val="24"/>
        </w:rPr>
        <w:t xml:space="preserve">  OGS’s assertion that a work for hire agreement may be signed after creation of a work is unsupported by the relevant case law on the matter.</w:t>
      </w:r>
      <w:r w:rsidR="00E328E0">
        <w:rPr>
          <w:snapToGrid/>
          <w:szCs w:val="24"/>
        </w:rPr>
        <w:t xml:space="preserve">  </w:t>
      </w:r>
      <w:r w:rsidR="006E1786">
        <w:rPr>
          <w:snapToGrid/>
          <w:szCs w:val="24"/>
        </w:rPr>
        <w:t xml:space="preserve">Ms. Lime and TinyTV assert that a written agreement must be signed prior to creation of a work made for hire.  </w:t>
      </w:r>
      <w:r w:rsidR="00E328E0">
        <w:rPr>
          <w:snapToGrid/>
          <w:szCs w:val="24"/>
        </w:rPr>
        <w:t xml:space="preserve">Upon examination of prior case law on the issue of works made for hire, Ms. Lime and TinyTV’s motion should be granted.  </w:t>
      </w:r>
    </w:p>
    <w:p w14:paraId="6F0BFCDE" w14:textId="77777777" w:rsidR="00471FDA" w:rsidRPr="00454733" w:rsidRDefault="00471FDA" w:rsidP="00BC2F04">
      <w:pPr>
        <w:spacing w:line="480" w:lineRule="auto"/>
        <w:contextualSpacing/>
        <w:jc w:val="center"/>
        <w:rPr>
          <w:snapToGrid/>
          <w:szCs w:val="24"/>
          <w:u w:val="single"/>
        </w:rPr>
      </w:pPr>
      <w:r w:rsidRPr="00454733">
        <w:rPr>
          <w:b/>
          <w:snapToGrid/>
          <w:szCs w:val="24"/>
          <w:u w:val="single"/>
        </w:rPr>
        <w:t>CONCLUSION</w:t>
      </w:r>
    </w:p>
    <w:p w14:paraId="39F0B19B" w14:textId="77777777" w:rsidR="004A3C75" w:rsidRPr="00454733" w:rsidRDefault="004A3C75" w:rsidP="00BC2F04">
      <w:pPr>
        <w:contextualSpacing/>
        <w:rPr>
          <w:snapToGrid/>
          <w:szCs w:val="24"/>
        </w:rPr>
      </w:pPr>
    </w:p>
    <w:p w14:paraId="61DA62F2" w14:textId="77777777" w:rsidR="00A33A15" w:rsidRPr="00454733" w:rsidRDefault="00A33A15" w:rsidP="00BC2F04">
      <w:pPr>
        <w:spacing w:line="480" w:lineRule="auto"/>
        <w:contextualSpacing/>
        <w:rPr>
          <w:snapToGrid/>
          <w:szCs w:val="24"/>
        </w:rPr>
      </w:pPr>
      <w:r w:rsidRPr="00454733">
        <w:rPr>
          <w:snapToGrid/>
          <w:szCs w:val="24"/>
        </w:rPr>
        <w:tab/>
      </w:r>
      <w:r w:rsidR="0057033D" w:rsidRPr="00454733">
        <w:rPr>
          <w:snapToGrid/>
          <w:szCs w:val="24"/>
        </w:rPr>
        <w:t xml:space="preserve">The plain language of U.S.C. 17 § 101, the legislative history of the act, and prior case law all indicate that a writing signed by both parties prior to creation of a work is required to satisfy the definition of a work made for hire.  </w:t>
      </w:r>
    </w:p>
    <w:p w14:paraId="1212BD60" w14:textId="77777777" w:rsidR="0057033D" w:rsidRPr="00454733" w:rsidRDefault="0057033D" w:rsidP="00BC2F04">
      <w:pPr>
        <w:spacing w:line="480" w:lineRule="auto"/>
        <w:contextualSpacing/>
        <w:rPr>
          <w:snapToGrid/>
          <w:szCs w:val="24"/>
        </w:rPr>
      </w:pPr>
      <w:r w:rsidRPr="00454733">
        <w:rPr>
          <w:snapToGrid/>
          <w:szCs w:val="24"/>
        </w:rPr>
        <w:tab/>
        <w:t>The plain meaning, as evidenced</w:t>
      </w:r>
      <w:r w:rsidR="006B563A">
        <w:rPr>
          <w:snapToGrid/>
          <w:szCs w:val="24"/>
        </w:rPr>
        <w:t xml:space="preserve"> by</w:t>
      </w:r>
      <w:r w:rsidRPr="00454733">
        <w:rPr>
          <w:snapToGrid/>
          <w:szCs w:val="24"/>
        </w:rPr>
        <w:t xml:space="preserve"> the </w:t>
      </w:r>
      <w:r w:rsidR="006B563A">
        <w:rPr>
          <w:snapToGrid/>
          <w:szCs w:val="24"/>
        </w:rPr>
        <w:t>future tense</w:t>
      </w:r>
      <w:r w:rsidRPr="00454733">
        <w:rPr>
          <w:snapToGrid/>
          <w:szCs w:val="24"/>
        </w:rPr>
        <w:t xml:space="preserve"> of the language of the definition coupled with the necessity of viewing the act as a whole, supports Ms. Lime and TinyTV’s </w:t>
      </w:r>
      <w:r w:rsidR="006B563A">
        <w:rPr>
          <w:snapToGrid/>
          <w:szCs w:val="24"/>
        </w:rPr>
        <w:t xml:space="preserve">construction of § 101, that </w:t>
      </w:r>
      <w:proofErr w:type="gramStart"/>
      <w:r w:rsidR="006B563A">
        <w:rPr>
          <w:snapToGrid/>
          <w:szCs w:val="24"/>
        </w:rPr>
        <w:t>a writing</w:t>
      </w:r>
      <w:proofErr w:type="gramEnd"/>
      <w:r w:rsidR="006B563A">
        <w:rPr>
          <w:snapToGrid/>
          <w:szCs w:val="24"/>
        </w:rPr>
        <w:t xml:space="preserve"> must precede creation of a work made for hire</w:t>
      </w:r>
      <w:r w:rsidRPr="00454733">
        <w:rPr>
          <w:snapToGrid/>
          <w:szCs w:val="24"/>
        </w:rPr>
        <w:t xml:space="preserve">.  The legislative history points to Congress’s desire to clarify ownership and enhance predictability surrounding works made for hire.  This </w:t>
      </w:r>
      <w:r w:rsidR="00722E90" w:rsidRPr="00454733">
        <w:rPr>
          <w:snapToGrid/>
          <w:szCs w:val="24"/>
        </w:rPr>
        <w:t>indicates the legislature’s</w:t>
      </w:r>
      <w:r w:rsidRPr="00454733">
        <w:rPr>
          <w:snapToGrid/>
          <w:szCs w:val="24"/>
        </w:rPr>
        <w:t xml:space="preserve"> intention that a brightline rule be applicable, requiring </w:t>
      </w:r>
      <w:proofErr w:type="gramStart"/>
      <w:r w:rsidRPr="00454733">
        <w:rPr>
          <w:snapToGrid/>
          <w:szCs w:val="24"/>
        </w:rPr>
        <w:t>a writing</w:t>
      </w:r>
      <w:proofErr w:type="gramEnd"/>
      <w:r w:rsidRPr="00454733">
        <w:rPr>
          <w:snapToGrid/>
          <w:szCs w:val="24"/>
        </w:rPr>
        <w:t xml:space="preserve"> prior to creation.  Case law indicates that the Supreme Court, </w:t>
      </w:r>
      <w:r w:rsidRPr="00454733">
        <w:rPr>
          <w:snapToGrid/>
          <w:szCs w:val="24"/>
        </w:rPr>
        <w:lastRenderedPageBreak/>
        <w:t xml:space="preserve">as well as the seventh circuit </w:t>
      </w:r>
      <w:proofErr w:type="gramStart"/>
      <w:r w:rsidRPr="00454733">
        <w:rPr>
          <w:snapToGrid/>
          <w:szCs w:val="24"/>
        </w:rPr>
        <w:t>hold</w:t>
      </w:r>
      <w:proofErr w:type="gramEnd"/>
      <w:r w:rsidRPr="00454733">
        <w:rPr>
          <w:snapToGrid/>
          <w:szCs w:val="24"/>
        </w:rPr>
        <w:t xml:space="preserve"> that this brightline rule is a legitimate interpretation of 17 U.S.C. § 101.  </w:t>
      </w:r>
    </w:p>
    <w:p w14:paraId="73F7CF15" w14:textId="77777777" w:rsidR="00CF313E" w:rsidRPr="00454733" w:rsidRDefault="0057033D" w:rsidP="00BC2F04">
      <w:pPr>
        <w:spacing w:line="480" w:lineRule="auto"/>
        <w:contextualSpacing/>
        <w:rPr>
          <w:snapToGrid/>
          <w:szCs w:val="24"/>
        </w:rPr>
      </w:pPr>
      <w:r w:rsidRPr="00454733">
        <w:rPr>
          <w:snapToGrid/>
          <w:szCs w:val="24"/>
        </w:rPr>
        <w:tab/>
        <w:t xml:space="preserve">As Ms. Lime and OGS did not sign a written </w:t>
      </w:r>
      <w:r w:rsidR="006B563A">
        <w:rPr>
          <w:snapToGrid/>
          <w:szCs w:val="24"/>
        </w:rPr>
        <w:t>instrument</w:t>
      </w:r>
      <w:r w:rsidRPr="00454733">
        <w:rPr>
          <w:snapToGrid/>
          <w:szCs w:val="24"/>
        </w:rPr>
        <w:t xml:space="preserve"> prior to her writing “Anticipatory Repudiation,” </w:t>
      </w:r>
      <w:r w:rsidR="006B563A">
        <w:rPr>
          <w:snapToGrid/>
          <w:szCs w:val="24"/>
        </w:rPr>
        <w:t>the parties did not enter a work made for hire agreement</w:t>
      </w:r>
      <w:r w:rsidRPr="00454733">
        <w:rPr>
          <w:snapToGrid/>
          <w:szCs w:val="24"/>
        </w:rPr>
        <w:t xml:space="preserve">.  </w:t>
      </w:r>
      <w:r w:rsidR="005A4368" w:rsidRPr="00454733">
        <w:rPr>
          <w:snapToGrid/>
          <w:szCs w:val="24"/>
        </w:rPr>
        <w:t xml:space="preserve">Ms. Lime did not infringe on a copyright of OGS because OGS never held the rights to “Anticipatory Repudiation.”  Ms. Lime is the author and owner of “Anticipatory Repudiation,” and was acting within her rights in adapting and producing it in conjunction with TinyTV.  </w:t>
      </w:r>
      <w:r w:rsidR="006B563A">
        <w:rPr>
          <w:snapToGrid/>
          <w:szCs w:val="24"/>
        </w:rPr>
        <w:t xml:space="preserve"> The Court should grant Ms. Lime and TinyTV’s motion for judgment on the pleadings.  </w:t>
      </w:r>
    </w:p>
    <w:p w14:paraId="04D05636" w14:textId="77777777" w:rsidR="00CD0113" w:rsidRPr="00454733" w:rsidRDefault="00CD0113" w:rsidP="00BC2F04">
      <w:pPr>
        <w:spacing w:line="480" w:lineRule="auto"/>
        <w:contextualSpacing/>
        <w:rPr>
          <w:snapToGrid/>
          <w:szCs w:val="24"/>
        </w:rPr>
      </w:pPr>
    </w:p>
    <w:p w14:paraId="47881994" w14:textId="77777777" w:rsidR="00CD0113" w:rsidRPr="00454733" w:rsidRDefault="00CD0113" w:rsidP="00BC2F04">
      <w:pPr>
        <w:widowControl/>
        <w:autoSpaceDE w:val="0"/>
        <w:autoSpaceDN w:val="0"/>
        <w:adjustRightInd w:val="0"/>
        <w:contextualSpacing/>
        <w:rPr>
          <w:rFonts w:eastAsiaTheme="minorHAnsi"/>
          <w:snapToGrid/>
          <w:color w:val="000000"/>
          <w:szCs w:val="24"/>
        </w:rPr>
      </w:pPr>
      <w:r w:rsidRPr="00454733">
        <w:rPr>
          <w:rFonts w:eastAsiaTheme="minorHAnsi"/>
          <w:snapToGrid/>
          <w:color w:val="000000"/>
          <w:szCs w:val="24"/>
        </w:rPr>
        <w:t xml:space="preserve">Dated: </w:t>
      </w:r>
      <w:r w:rsidR="009007D7" w:rsidRPr="00454733">
        <w:rPr>
          <w:rFonts w:eastAsiaTheme="minorHAnsi"/>
          <w:snapToGrid/>
          <w:color w:val="000000"/>
          <w:szCs w:val="24"/>
          <w:u w:val="single"/>
        </w:rPr>
        <w:t xml:space="preserve">     </w:t>
      </w:r>
      <w:r w:rsidRPr="00454733">
        <w:rPr>
          <w:rFonts w:eastAsiaTheme="minorHAnsi"/>
          <w:snapToGrid/>
          <w:color w:val="000000"/>
          <w:szCs w:val="24"/>
          <w:u w:val="single"/>
        </w:rPr>
        <w:t xml:space="preserve">March </w:t>
      </w:r>
      <w:r w:rsidR="00A26970">
        <w:rPr>
          <w:rFonts w:eastAsiaTheme="minorHAnsi"/>
          <w:snapToGrid/>
          <w:color w:val="000000"/>
          <w:szCs w:val="24"/>
          <w:u w:val="single"/>
        </w:rPr>
        <w:t>22</w:t>
      </w:r>
      <w:r w:rsidRPr="00454733">
        <w:rPr>
          <w:rFonts w:eastAsiaTheme="minorHAnsi"/>
          <w:snapToGrid/>
          <w:color w:val="000000"/>
          <w:szCs w:val="24"/>
          <w:u w:val="single"/>
        </w:rPr>
        <w:t>, 2012</w:t>
      </w:r>
      <w:r w:rsidR="00A26970">
        <w:rPr>
          <w:rFonts w:eastAsiaTheme="minorHAnsi"/>
          <w:snapToGrid/>
          <w:color w:val="000000"/>
          <w:szCs w:val="24"/>
          <w:u w:val="single"/>
        </w:rPr>
        <w:softHyphen/>
      </w:r>
      <w:r w:rsidR="00A26970">
        <w:rPr>
          <w:rFonts w:eastAsiaTheme="minorHAnsi"/>
          <w:snapToGrid/>
          <w:color w:val="000000"/>
          <w:szCs w:val="24"/>
          <w:u w:val="single"/>
        </w:rPr>
        <w:softHyphen/>
      </w:r>
      <w:r w:rsidR="00A26970">
        <w:rPr>
          <w:rFonts w:eastAsiaTheme="minorHAnsi"/>
          <w:snapToGrid/>
          <w:color w:val="000000"/>
          <w:szCs w:val="24"/>
          <w:u w:val="single"/>
        </w:rPr>
        <w:softHyphen/>
      </w:r>
      <w:r w:rsidR="00A26970">
        <w:rPr>
          <w:rFonts w:eastAsiaTheme="minorHAnsi"/>
          <w:snapToGrid/>
          <w:color w:val="000000"/>
          <w:szCs w:val="24"/>
          <w:u w:val="single"/>
        </w:rPr>
        <w:softHyphen/>
        <w:t xml:space="preserve">    </w:t>
      </w:r>
      <w:r w:rsidR="009007D7" w:rsidRPr="00454733">
        <w:rPr>
          <w:rFonts w:eastAsiaTheme="minorHAnsi"/>
          <w:snapToGrid/>
          <w:color w:val="000000"/>
          <w:szCs w:val="24"/>
          <w:u w:val="single"/>
        </w:rPr>
        <w:t xml:space="preserve"> </w:t>
      </w:r>
      <w:r w:rsidR="00454CCA" w:rsidRPr="00454733">
        <w:rPr>
          <w:rFonts w:eastAsiaTheme="minorHAnsi"/>
          <w:snapToGrid/>
          <w:color w:val="000000"/>
          <w:szCs w:val="24"/>
        </w:rPr>
        <w:tab/>
      </w:r>
      <w:r w:rsidR="00454CCA" w:rsidRPr="00454733">
        <w:rPr>
          <w:rFonts w:eastAsiaTheme="minorHAnsi"/>
          <w:snapToGrid/>
          <w:color w:val="000000"/>
          <w:szCs w:val="24"/>
        </w:rPr>
        <w:tab/>
      </w:r>
      <w:r w:rsidR="00454CCA" w:rsidRPr="00454733">
        <w:rPr>
          <w:rFonts w:eastAsiaTheme="minorHAnsi"/>
          <w:snapToGrid/>
          <w:color w:val="000000"/>
          <w:szCs w:val="24"/>
        </w:rPr>
        <w:tab/>
      </w:r>
      <w:r w:rsidR="00454CCA" w:rsidRPr="00454733">
        <w:rPr>
          <w:rFonts w:eastAsiaTheme="minorHAnsi"/>
          <w:snapToGrid/>
          <w:color w:val="000000"/>
          <w:szCs w:val="24"/>
        </w:rPr>
        <w:tab/>
      </w:r>
      <w:r w:rsidR="00454CCA" w:rsidRPr="00454733">
        <w:rPr>
          <w:rFonts w:eastAsiaTheme="minorHAnsi"/>
          <w:snapToGrid/>
          <w:color w:val="000000"/>
          <w:szCs w:val="24"/>
        </w:rPr>
        <w:tab/>
        <w:t xml:space="preserve">    </w:t>
      </w:r>
      <w:r w:rsidR="009007D7" w:rsidRPr="00454733">
        <w:rPr>
          <w:rFonts w:eastAsiaTheme="minorHAnsi"/>
          <w:snapToGrid/>
          <w:color w:val="000000"/>
          <w:szCs w:val="24"/>
        </w:rPr>
        <w:t xml:space="preserve">            </w:t>
      </w:r>
      <w:r w:rsidR="00454CCA" w:rsidRPr="00454733">
        <w:rPr>
          <w:rFonts w:eastAsiaTheme="minorHAnsi"/>
          <w:snapToGrid/>
          <w:color w:val="000000"/>
          <w:szCs w:val="24"/>
        </w:rPr>
        <w:t xml:space="preserve">     </w:t>
      </w:r>
      <w:r w:rsidRPr="00454733">
        <w:rPr>
          <w:rFonts w:eastAsiaTheme="minorHAnsi"/>
          <w:snapToGrid/>
          <w:color w:val="000000"/>
          <w:szCs w:val="24"/>
        </w:rPr>
        <w:t xml:space="preserve">Respectfully submitted, </w:t>
      </w:r>
    </w:p>
    <w:p w14:paraId="4B4A12F0" w14:textId="77777777" w:rsidR="00CD0113" w:rsidRPr="00454733" w:rsidRDefault="00CD0113" w:rsidP="00BC2F04">
      <w:pPr>
        <w:widowControl/>
        <w:autoSpaceDE w:val="0"/>
        <w:autoSpaceDN w:val="0"/>
        <w:adjustRightInd w:val="0"/>
        <w:contextualSpacing/>
        <w:jc w:val="right"/>
        <w:rPr>
          <w:rFonts w:eastAsiaTheme="minorHAnsi"/>
          <w:snapToGrid/>
          <w:color w:val="000000"/>
          <w:szCs w:val="24"/>
        </w:rPr>
      </w:pPr>
    </w:p>
    <w:p w14:paraId="73C568A9" w14:textId="77777777" w:rsidR="00CD0113" w:rsidRPr="00454733" w:rsidRDefault="0064766B" w:rsidP="00BC2F04">
      <w:pPr>
        <w:widowControl/>
        <w:autoSpaceDE w:val="0"/>
        <w:autoSpaceDN w:val="0"/>
        <w:adjustRightInd w:val="0"/>
        <w:contextualSpacing/>
        <w:jc w:val="right"/>
        <w:rPr>
          <w:rFonts w:eastAsiaTheme="minorHAnsi"/>
          <w:snapToGrid/>
          <w:color w:val="000000"/>
          <w:szCs w:val="24"/>
        </w:rPr>
      </w:pPr>
      <w:r w:rsidRPr="0064766B">
        <w:rPr>
          <w:rFonts w:eastAsiaTheme="minorHAnsi"/>
          <w:noProof/>
          <w:snapToGrid/>
          <w:color w:val="000000"/>
          <w:szCs w:val="24"/>
        </w:rPr>
        <mc:AlternateContent>
          <mc:Choice Requires="wps">
            <w:drawing>
              <wp:anchor distT="0" distB="0" distL="114300" distR="114300" simplePos="0" relativeHeight="251660288" behindDoc="0" locked="0" layoutInCell="1" allowOverlap="1" wp14:anchorId="7B2B7FB6" wp14:editId="4ECF6D71">
                <wp:simplePos x="0" y="0"/>
                <wp:positionH relativeFrom="column">
                  <wp:posOffset>3818890</wp:posOffset>
                </wp:positionH>
                <wp:positionV relativeFrom="paragraph">
                  <wp:posOffset>41910</wp:posOffset>
                </wp:positionV>
                <wp:extent cx="2447925" cy="1151890"/>
                <wp:effectExtent l="0" t="0" r="9525" b="444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7925" cy="1151890"/>
                        </a:xfrm>
                        <a:prstGeom prst="rect">
                          <a:avLst/>
                        </a:prstGeom>
                        <a:solidFill>
                          <a:srgbClr val="FFFFFF"/>
                        </a:solidFill>
                        <a:ln w="9525">
                          <a:noFill/>
                          <a:miter lim="800000"/>
                          <a:headEnd/>
                          <a:tailEnd/>
                        </a:ln>
                      </wps:spPr>
                      <wps:txbx>
                        <w:txbxContent>
                          <w:p w14:paraId="50B37F8B" w14:textId="77777777" w:rsidR="0064766B" w:rsidRDefault="0064766B" w:rsidP="00071492">
                            <w:pPr>
                              <w:widowControl/>
                              <w:autoSpaceDE w:val="0"/>
                              <w:autoSpaceDN w:val="0"/>
                              <w:adjustRightInd w:val="0"/>
                              <w:contextualSpacing/>
                              <w:jc w:val="both"/>
                              <w:rPr>
                                <w:rFonts w:eastAsiaTheme="minorHAnsi"/>
                                <w:snapToGrid/>
                                <w:color w:val="000000"/>
                                <w:szCs w:val="24"/>
                              </w:rPr>
                            </w:pPr>
                            <w:r>
                              <w:rPr>
                                <w:rFonts w:eastAsiaTheme="minorHAnsi"/>
                                <w:snapToGrid/>
                                <w:color w:val="000000"/>
                                <w:szCs w:val="24"/>
                              </w:rPr>
                              <w:t xml:space="preserve"> </w:t>
                            </w:r>
                            <w:r w:rsidRPr="00454733">
                              <w:rPr>
                                <w:rFonts w:eastAsiaTheme="minorHAnsi"/>
                                <w:snapToGrid/>
                                <w:color w:val="000000"/>
                                <w:szCs w:val="24"/>
                                <w:u w:val="single"/>
                              </w:rPr>
                              <w:t xml:space="preserve"> </w:t>
                            </w:r>
                            <w:r w:rsidR="00071492">
                              <w:rPr>
                                <w:szCs w:val="24"/>
                              </w:rPr>
                              <w:t>&lt;redacted&gt;&lt;/redacted&gt;</w:t>
                            </w:r>
                            <w:bookmarkStart w:id="0" w:name="_GoBack"/>
                            <w:bookmarkEnd w:id="0"/>
                          </w:p>
                          <w:p w14:paraId="1130C86C" w14:textId="77777777" w:rsidR="0064766B" w:rsidRPr="00454733" w:rsidRDefault="0064766B" w:rsidP="0064766B">
                            <w:pPr>
                              <w:widowControl/>
                              <w:autoSpaceDE w:val="0"/>
                              <w:autoSpaceDN w:val="0"/>
                              <w:adjustRightInd w:val="0"/>
                              <w:contextualSpacing/>
                              <w:rPr>
                                <w:rFonts w:eastAsiaTheme="minorHAnsi"/>
                                <w:snapToGrid/>
                                <w:color w:val="000000"/>
                                <w:szCs w:val="24"/>
                              </w:rPr>
                            </w:pPr>
                          </w:p>
                          <w:p w14:paraId="1785914E" w14:textId="77777777" w:rsidR="0064766B" w:rsidRPr="00454733" w:rsidRDefault="0064766B" w:rsidP="0064766B">
                            <w:pPr>
                              <w:contextualSpacing/>
                              <w:rPr>
                                <w:rFonts w:eastAsiaTheme="minorHAnsi"/>
                                <w:snapToGrid/>
                                <w:color w:val="000000"/>
                                <w:szCs w:val="24"/>
                              </w:rPr>
                            </w:pPr>
                            <w:r w:rsidRPr="00454733">
                              <w:rPr>
                                <w:rFonts w:eastAsiaTheme="minorHAnsi"/>
                                <w:snapToGrid/>
                                <w:color w:val="000000"/>
                                <w:szCs w:val="24"/>
                              </w:rPr>
                              <w:t>ATTORNEY FOR DEFENDENTS</w:t>
                            </w:r>
                          </w:p>
                          <w:p w14:paraId="7A242E68" w14:textId="77777777" w:rsidR="0064766B" w:rsidRPr="00454733" w:rsidRDefault="0064766B" w:rsidP="0064766B">
                            <w:pPr>
                              <w:contextualSpacing/>
                              <w:rPr>
                                <w:rFonts w:eastAsiaTheme="minorHAnsi"/>
                                <w:snapToGrid/>
                                <w:color w:val="000000"/>
                                <w:szCs w:val="24"/>
                              </w:rPr>
                            </w:pPr>
                            <w:r w:rsidRPr="00454733">
                              <w:rPr>
                                <w:rFonts w:eastAsiaTheme="minorHAnsi"/>
                                <w:snapToGrid/>
                                <w:color w:val="000000"/>
                                <w:szCs w:val="24"/>
                              </w:rPr>
                              <w:t xml:space="preserve"> ELZABETH LIME AND TINYTV, INC.</w:t>
                            </w:r>
                          </w:p>
                          <w:p w14:paraId="59153A26" w14:textId="77777777" w:rsidR="0064766B" w:rsidRDefault="0064766B"/>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0,0l0,21600,21600,21600,21600,0xe">
                <v:stroke joinstyle="miter"/>
                <v:path gradientshapeok="t" o:connecttype="rect"/>
              </v:shapetype>
              <v:shape id="Text Box 2" o:spid="_x0000_s1026" type="#_x0000_t202" style="position:absolute;left:0;text-align:left;margin-left:300.7pt;margin-top:3.3pt;width:192.75pt;height:90.7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" stroked="f">
                <v:textbox style="mso-fit-shape-to-text:t">
                  <w:txbxContent>
                    <w:p w14:paraId="50B37F8B" w14:textId="77777777" w:rsidR="0064766B" w:rsidRDefault="0064766B" w:rsidP="00071492">
                      <w:pPr>
                        <w:widowControl/>
                        <w:autoSpaceDE w:val="0"/>
                        <w:autoSpaceDN w:val="0"/>
                        <w:adjustRightInd w:val="0"/>
                        <w:contextualSpacing/>
                        <w:jc w:val="both"/>
                        <w:rPr>
                          <w:rFonts w:eastAsiaTheme="minorHAnsi"/>
                          <w:snapToGrid/>
                          <w:color w:val="000000"/>
                          <w:szCs w:val="24"/>
                        </w:rPr>
                      </w:pPr>
                      <w:r>
                        <w:rPr>
                          <w:rFonts w:eastAsiaTheme="minorHAnsi"/>
                          <w:snapToGrid/>
                          <w:color w:val="000000"/>
                          <w:szCs w:val="24"/>
                        </w:rPr>
                        <w:t xml:space="preserve"> </w:t>
                      </w:r>
                      <w:r w:rsidRPr="00454733">
                        <w:rPr>
                          <w:rFonts w:eastAsiaTheme="minorHAnsi"/>
                          <w:snapToGrid/>
                          <w:color w:val="000000"/>
                          <w:szCs w:val="24"/>
                          <w:u w:val="single"/>
                        </w:rPr>
                        <w:t xml:space="preserve"> </w:t>
                      </w:r>
                      <w:r w:rsidR="00071492">
                        <w:rPr>
                          <w:szCs w:val="24"/>
                        </w:rPr>
                        <w:t>&lt;redacted&gt;&lt;/redacted&gt;</w:t>
                      </w:r>
                      <w:bookmarkStart w:id="1" w:name="_GoBack"/>
                      <w:bookmarkEnd w:id="1"/>
                    </w:p>
                    <w:p w14:paraId="1130C86C" w14:textId="77777777" w:rsidR="0064766B" w:rsidRPr="00454733" w:rsidRDefault="0064766B" w:rsidP="0064766B">
                      <w:pPr>
                        <w:widowControl/>
                        <w:autoSpaceDE w:val="0"/>
                        <w:autoSpaceDN w:val="0"/>
                        <w:adjustRightInd w:val="0"/>
                        <w:contextualSpacing/>
                        <w:rPr>
                          <w:rFonts w:eastAsiaTheme="minorHAnsi"/>
                          <w:snapToGrid/>
                          <w:color w:val="000000"/>
                          <w:szCs w:val="24"/>
                        </w:rPr>
                      </w:pPr>
                    </w:p>
                    <w:p w14:paraId="1785914E" w14:textId="77777777" w:rsidR="0064766B" w:rsidRPr="00454733" w:rsidRDefault="0064766B" w:rsidP="0064766B">
                      <w:pPr>
                        <w:contextualSpacing/>
                        <w:rPr>
                          <w:rFonts w:eastAsiaTheme="minorHAnsi"/>
                          <w:snapToGrid/>
                          <w:color w:val="000000"/>
                          <w:szCs w:val="24"/>
                        </w:rPr>
                      </w:pPr>
                      <w:r w:rsidRPr="00454733">
                        <w:rPr>
                          <w:rFonts w:eastAsiaTheme="minorHAnsi"/>
                          <w:snapToGrid/>
                          <w:color w:val="000000"/>
                          <w:szCs w:val="24"/>
                        </w:rPr>
                        <w:t>ATTORNEY FOR DEFENDENTS</w:t>
                      </w:r>
                    </w:p>
                    <w:p w14:paraId="7A242E68" w14:textId="77777777" w:rsidR="0064766B" w:rsidRPr="00454733" w:rsidRDefault="0064766B" w:rsidP="0064766B">
                      <w:pPr>
                        <w:contextualSpacing/>
                        <w:rPr>
                          <w:rFonts w:eastAsiaTheme="minorHAnsi"/>
                          <w:snapToGrid/>
                          <w:color w:val="000000"/>
                          <w:szCs w:val="24"/>
                        </w:rPr>
                      </w:pPr>
                      <w:r w:rsidRPr="00454733">
                        <w:rPr>
                          <w:rFonts w:eastAsiaTheme="minorHAnsi"/>
                          <w:snapToGrid/>
                          <w:color w:val="000000"/>
                          <w:szCs w:val="24"/>
                        </w:rPr>
                        <w:t xml:space="preserve"> ELZABETH LIME AND TINYTV, INC.</w:t>
                      </w:r>
                    </w:p>
                    <w:p w14:paraId="59153A26" w14:textId="77777777" w:rsidR="0064766B" w:rsidRDefault="0064766B"/>
                  </w:txbxContent>
                </v:textbox>
              </v:shape>
            </w:pict>
          </mc:Fallback>
        </mc:AlternateContent>
      </w:r>
    </w:p>
    <w:p w14:paraId="774D15AD" w14:textId="77777777" w:rsidR="00CD0113" w:rsidRPr="00454733" w:rsidRDefault="009007D7" w:rsidP="0064766B">
      <w:pPr>
        <w:widowControl/>
        <w:autoSpaceDE w:val="0"/>
        <w:autoSpaceDN w:val="0"/>
        <w:adjustRightInd w:val="0"/>
        <w:contextualSpacing/>
        <w:jc w:val="right"/>
        <w:rPr>
          <w:rFonts w:eastAsiaTheme="minorHAnsi"/>
          <w:snapToGrid/>
          <w:color w:val="000000"/>
          <w:szCs w:val="24"/>
        </w:rPr>
      </w:pPr>
      <w:r w:rsidRPr="00454733">
        <w:rPr>
          <w:rFonts w:eastAsiaTheme="minorHAnsi"/>
          <w:snapToGrid/>
          <w:color w:val="000000"/>
          <w:szCs w:val="24"/>
        </w:rPr>
        <w:t xml:space="preserve">      </w:t>
      </w:r>
      <w:r w:rsidRPr="00454733">
        <w:rPr>
          <w:rFonts w:eastAsiaTheme="minorHAnsi"/>
          <w:snapToGrid/>
          <w:color w:val="000000"/>
          <w:szCs w:val="24"/>
          <w:u w:val="single"/>
        </w:rPr>
        <w:t xml:space="preserve">            </w:t>
      </w:r>
      <w:r w:rsidR="006E1786">
        <w:rPr>
          <w:rFonts w:eastAsiaTheme="minorHAnsi"/>
          <w:snapToGrid/>
          <w:color w:val="000000"/>
          <w:szCs w:val="24"/>
          <w:u w:val="single"/>
        </w:rPr>
        <w:t xml:space="preserve">  </w:t>
      </w:r>
    </w:p>
    <w:p w14:paraId="63457878" w14:textId="77777777" w:rsidR="00DA5404" w:rsidRPr="00454733" w:rsidRDefault="006E1786" w:rsidP="00BC2F04">
      <w:pPr>
        <w:spacing w:line="480" w:lineRule="auto"/>
        <w:ind w:left="2160"/>
        <w:contextualSpacing/>
        <w:rPr>
          <w:szCs w:val="24"/>
        </w:rPr>
      </w:pPr>
      <w:r>
        <w:rPr>
          <w:noProof/>
          <w:snapToGrid/>
          <w:szCs w:val="24"/>
        </w:rPr>
        <mc:AlternateContent>
          <mc:Choice Requires="wps">
            <w:drawing>
              <wp:anchor distT="0" distB="0" distL="114300" distR="114300" simplePos="0" relativeHeight="251658240" behindDoc="0" locked="0" layoutInCell="1" allowOverlap="1" wp14:anchorId="06A65980" wp14:editId="36C447FC">
                <wp:simplePos x="0" y="0"/>
                <wp:positionH relativeFrom="column">
                  <wp:posOffset>5078730</wp:posOffset>
                </wp:positionH>
                <wp:positionV relativeFrom="paragraph">
                  <wp:posOffset>8102600</wp:posOffset>
                </wp:positionV>
                <wp:extent cx="2112645" cy="159829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2645" cy="15982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36AFA1" w14:textId="77777777" w:rsidR="006E1786" w:rsidRDefault="006E1786" w:rsidP="002240CD">
                            <w:pPr>
                              <w:rPr>
                                <w:rFonts w:ascii="Brush Script MT" w:hAnsi="Brush Script MT"/>
                                <w:sz w:val="36"/>
                                <w:szCs w:val="36"/>
                                <w:u w:val="single"/>
                              </w:rPr>
                            </w:pPr>
                            <w:r>
                              <w:rPr>
                                <w:rFonts w:ascii="Brush Script MT" w:hAnsi="Brush Script MT"/>
                                <w:sz w:val="36"/>
                                <w:szCs w:val="36"/>
                                <w:u w:val="single"/>
                              </w:rPr>
                              <w:t>__Will Prevail</w:t>
                            </w:r>
                            <w:r>
                              <w:rPr>
                                <w:rFonts w:ascii="Brush Script MT" w:hAnsi="Brush Script MT"/>
                                <w:sz w:val="36"/>
                                <w:szCs w:val="36"/>
                                <w:u w:val="single"/>
                              </w:rPr>
                              <w:softHyphen/>
                            </w:r>
                            <w:r>
                              <w:rPr>
                                <w:rFonts w:ascii="Brush Script MT" w:hAnsi="Brush Script MT"/>
                                <w:sz w:val="36"/>
                                <w:szCs w:val="36"/>
                                <w:u w:val="single"/>
                              </w:rPr>
                              <w:softHyphen/>
                            </w:r>
                            <w:r>
                              <w:rPr>
                                <w:rFonts w:ascii="Brush Script MT" w:hAnsi="Brush Script MT"/>
                                <w:sz w:val="36"/>
                                <w:szCs w:val="36"/>
                                <w:u w:val="single"/>
                              </w:rPr>
                              <w:softHyphen/>
                            </w:r>
                            <w:r>
                              <w:rPr>
                                <w:rFonts w:ascii="Brush Script MT" w:hAnsi="Brush Script MT"/>
                                <w:sz w:val="36"/>
                                <w:szCs w:val="36"/>
                                <w:u w:val="single"/>
                              </w:rPr>
                              <w:softHyphen/>
                            </w:r>
                            <w:r>
                              <w:rPr>
                                <w:rFonts w:ascii="Brush Script MT" w:hAnsi="Brush Script MT"/>
                                <w:sz w:val="36"/>
                                <w:szCs w:val="36"/>
                                <w:u w:val="single"/>
                              </w:rPr>
                              <w:softHyphen/>
                            </w:r>
                            <w:r>
                              <w:rPr>
                                <w:rFonts w:ascii="Brush Script MT" w:hAnsi="Brush Script MT"/>
                                <w:sz w:val="36"/>
                                <w:szCs w:val="36"/>
                                <w:u w:val="single"/>
                              </w:rPr>
                              <w:softHyphen/>
                              <w:t>___</w:t>
                            </w:r>
                          </w:p>
                          <w:p w14:paraId="04FC7128" w14:textId="77777777" w:rsidR="006E1786" w:rsidRDefault="006E1786"/>
                          <w:p w14:paraId="638DD1D0" w14:textId="77777777" w:rsidR="006E1786" w:rsidRDefault="006E1786">
                            <w:r>
                              <w:t>Willard Prevail</w:t>
                            </w:r>
                          </w:p>
                          <w:p w14:paraId="52B700F0" w14:textId="77777777" w:rsidR="006E1786" w:rsidRDefault="006E1786">
                            <w:r>
                              <w:t>Attorney: #444454</w:t>
                            </w:r>
                          </w:p>
                          <w:p w14:paraId="51ABD200" w14:textId="77777777" w:rsidR="006E1786" w:rsidRDefault="006E1786">
                            <w:r>
                              <w:t>Capitol City, Moot 59321</w:t>
                            </w:r>
                          </w:p>
                          <w:p w14:paraId="47A42989" w14:textId="77777777" w:rsidR="006E1786" w:rsidRDefault="006E1786">
                            <w:r>
                              <w:t>(123) 678-9012</w:t>
                            </w:r>
                          </w:p>
                          <w:p w14:paraId="7FDA36F2" w14:textId="77777777" w:rsidR="006E1786" w:rsidRDefault="006E1786">
                            <w:r>
                              <w:t xml:space="preserve">Email: </w:t>
                            </w:r>
                            <w:r w:rsidRPr="003F4223">
                              <w:t>WP@gmail.com</w:t>
                            </w:r>
                          </w:p>
                          <w:p w14:paraId="717ADB5F" w14:textId="77777777" w:rsidR="006E1786" w:rsidRDefault="006E1786" w:rsidP="003F4223">
                            <w:r>
                              <w:t>Attorney for Defendants</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1" o:spid="_x0000_s1027" type="#_x0000_t202" style="position:absolute;left:0;text-align:left;margin-left:399.9pt;margin-top:638pt;width:166.35pt;height:128.4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" stroked="f">
                <v:textbox style="mso-fit-shape-to-text:t">
                  <w:txbxContent>
                    <w:p w:rsidR="006E1786" w:rsidRDefault="006E1786" w:rsidP="002240CD">
                      <w:pPr>
                        <w:rPr>
                          <w:rFonts w:ascii="Brush Script MT" w:hAnsi="Brush Script MT"/>
                          <w:sz w:val="36"/>
                          <w:szCs w:val="36"/>
                          <w:u w:val="single"/>
                        </w:rPr>
                      </w:pPr>
                      <w:r>
                        <w:rPr>
                          <w:rFonts w:ascii="Brush Script MT" w:hAnsi="Brush Script MT"/>
                          <w:sz w:val="36"/>
                          <w:szCs w:val="36"/>
                          <w:u w:val="single"/>
                        </w:rPr>
                        <w:t>__Will Prevail</w:t>
                      </w:r>
                      <w:r>
                        <w:rPr>
                          <w:rFonts w:ascii="Brush Script MT" w:hAnsi="Brush Script MT"/>
                          <w:sz w:val="36"/>
                          <w:szCs w:val="36"/>
                          <w:u w:val="single"/>
                        </w:rPr>
                        <w:softHyphen/>
                      </w:r>
                      <w:r>
                        <w:rPr>
                          <w:rFonts w:ascii="Brush Script MT" w:hAnsi="Brush Script MT"/>
                          <w:sz w:val="36"/>
                          <w:szCs w:val="36"/>
                          <w:u w:val="single"/>
                        </w:rPr>
                        <w:softHyphen/>
                      </w:r>
                      <w:r>
                        <w:rPr>
                          <w:rFonts w:ascii="Brush Script MT" w:hAnsi="Brush Script MT"/>
                          <w:sz w:val="36"/>
                          <w:szCs w:val="36"/>
                          <w:u w:val="single"/>
                        </w:rPr>
                        <w:softHyphen/>
                      </w:r>
                      <w:r>
                        <w:rPr>
                          <w:rFonts w:ascii="Brush Script MT" w:hAnsi="Brush Script MT"/>
                          <w:sz w:val="36"/>
                          <w:szCs w:val="36"/>
                          <w:u w:val="single"/>
                        </w:rPr>
                        <w:softHyphen/>
                      </w:r>
                      <w:r>
                        <w:rPr>
                          <w:rFonts w:ascii="Brush Script MT" w:hAnsi="Brush Script MT"/>
                          <w:sz w:val="36"/>
                          <w:szCs w:val="36"/>
                          <w:u w:val="single"/>
                        </w:rPr>
                        <w:softHyphen/>
                      </w:r>
                      <w:r>
                        <w:rPr>
                          <w:rFonts w:ascii="Brush Script MT" w:hAnsi="Brush Script MT"/>
                          <w:sz w:val="36"/>
                          <w:szCs w:val="36"/>
                          <w:u w:val="single"/>
                        </w:rPr>
                        <w:softHyphen/>
                        <w:t>___</w:t>
                      </w:r>
                    </w:p>
                    <w:p w:rsidR="006E1786" w:rsidRDefault="006E1786"/>
                    <w:p w:rsidR="006E1786" w:rsidRDefault="006E1786">
                      <w:r>
                        <w:t>Willard Prevail</w:t>
                      </w:r>
                    </w:p>
                    <w:p w:rsidR="006E1786" w:rsidRDefault="006E1786">
                      <w:r>
                        <w:t>Attorney: #444454</w:t>
                      </w:r>
                    </w:p>
                    <w:p w:rsidR="006E1786" w:rsidRDefault="006E1786">
                      <w:r>
                        <w:t>Capitol City, Moot 59321</w:t>
                      </w:r>
                    </w:p>
                    <w:p w:rsidR="006E1786" w:rsidRDefault="006E1786">
                      <w:r>
                        <w:t>(123) 678-9012</w:t>
                      </w:r>
                    </w:p>
                    <w:p w:rsidR="006E1786" w:rsidRDefault="006E1786">
                      <w:r>
                        <w:t xml:space="preserve">Email: </w:t>
                      </w:r>
                      <w:r w:rsidRPr="003F4223">
                        <w:t>WP@gmail.com</w:t>
                      </w:r>
                    </w:p>
                    <w:p w:rsidR="006E1786" w:rsidRDefault="006E1786" w:rsidP="003F4223">
                      <w:r>
                        <w:t>Attorney for Defendants</w:t>
                      </w:r>
                    </w:p>
                  </w:txbxContent>
                </v:textbox>
              </v:shape>
            </w:pict>
          </mc:Fallback>
        </mc:AlternateContent>
      </w:r>
    </w:p>
    <w:sectPr w:rsidR="00DA5404" w:rsidRPr="00454733">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FBC637" w14:textId="77777777" w:rsidR="00B40647" w:rsidRDefault="00B40647" w:rsidP="006B1939">
      <w:r>
        <w:separator/>
      </w:r>
    </w:p>
  </w:endnote>
  <w:endnote w:type="continuationSeparator" w:id="0">
    <w:p w14:paraId="7AE90B53" w14:textId="77777777" w:rsidR="00B40647" w:rsidRDefault="00B40647" w:rsidP="006B1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Century Schoolbook">
    <w:panose1 w:val="020406040505050203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Brush Script MT">
    <w:altName w:val="Brush Script MT Italic"/>
    <w:charset w:val="00"/>
    <w:family w:val="script"/>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8484547"/>
      <w:docPartObj>
        <w:docPartGallery w:val="Page Numbers (Bottom of Page)"/>
        <w:docPartUnique/>
      </w:docPartObj>
    </w:sdtPr>
    <w:sdtEndPr>
      <w:rPr>
        <w:noProof/>
      </w:rPr>
    </w:sdtEndPr>
    <w:sdtContent>
      <w:p w14:paraId="7E023CF0" w14:textId="77777777" w:rsidR="00A224EE" w:rsidRDefault="00A224EE">
        <w:pPr>
          <w:pStyle w:val="Footer"/>
          <w:jc w:val="right"/>
        </w:pPr>
        <w:r>
          <w:fldChar w:fldCharType="begin"/>
        </w:r>
        <w:r>
          <w:instrText xml:space="preserve"> PAGE   \* MERGEFORMAT </w:instrText>
        </w:r>
        <w:r>
          <w:fldChar w:fldCharType="separate"/>
        </w:r>
        <w:r w:rsidR="00071492">
          <w:rPr>
            <w:noProof/>
          </w:rPr>
          <w:t>13</w:t>
        </w:r>
        <w:r>
          <w:rPr>
            <w:noProof/>
          </w:rPr>
          <w:fldChar w:fldCharType="end"/>
        </w:r>
      </w:p>
    </w:sdtContent>
  </w:sdt>
  <w:p w14:paraId="36E8C903" w14:textId="77777777" w:rsidR="00A224EE" w:rsidRDefault="00A224EE">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0A6923" w14:textId="77777777" w:rsidR="00B40647" w:rsidRDefault="00B40647" w:rsidP="006B1939">
      <w:r>
        <w:separator/>
      </w:r>
    </w:p>
  </w:footnote>
  <w:footnote w:type="continuationSeparator" w:id="0">
    <w:p w14:paraId="27AEBC83" w14:textId="77777777" w:rsidR="00B40647" w:rsidRDefault="00B40647" w:rsidP="006B193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B33B0"/>
    <w:multiLevelType w:val="hybridMultilevel"/>
    <w:tmpl w:val="5D864A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D161E4"/>
    <w:multiLevelType w:val="hybridMultilevel"/>
    <w:tmpl w:val="68E2317C"/>
    <w:lvl w:ilvl="0" w:tplc="67407B36">
      <w:start w:val="9"/>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FF3923"/>
    <w:multiLevelType w:val="hybridMultilevel"/>
    <w:tmpl w:val="89805CC0"/>
    <w:lvl w:ilvl="0" w:tplc="C7629A06">
      <w:start w:val="1"/>
      <w:numFmt w:val="upperLetter"/>
      <w:lvlText w:val="%1."/>
      <w:lvlJc w:val="left"/>
      <w:pPr>
        <w:ind w:left="144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7A1786"/>
    <w:multiLevelType w:val="hybridMultilevel"/>
    <w:tmpl w:val="D96C92AC"/>
    <w:lvl w:ilvl="0" w:tplc="47E803FE">
      <w:start w:val="1"/>
      <w:numFmt w:val="lowerRoman"/>
      <w:lvlText w:val="%1."/>
      <w:lvlJc w:val="right"/>
      <w:pPr>
        <w:ind w:left="2160" w:hanging="18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632F90"/>
    <w:multiLevelType w:val="hybridMultilevel"/>
    <w:tmpl w:val="253E2670"/>
    <w:lvl w:ilvl="0" w:tplc="8C5ABB54">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FE496F"/>
    <w:multiLevelType w:val="hybridMultilevel"/>
    <w:tmpl w:val="D96C92AC"/>
    <w:lvl w:ilvl="0" w:tplc="47E803FE">
      <w:start w:val="1"/>
      <w:numFmt w:val="lowerRoman"/>
      <w:lvlText w:val="%1."/>
      <w:lvlJc w:val="right"/>
      <w:pPr>
        <w:ind w:left="1620" w:hanging="180"/>
      </w:pPr>
      <w:rPr>
        <w:b/>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6">
    <w:nsid w:val="199409F5"/>
    <w:multiLevelType w:val="hybridMultilevel"/>
    <w:tmpl w:val="CBB8D8D0"/>
    <w:lvl w:ilvl="0" w:tplc="ADE6F9D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FA54C1"/>
    <w:multiLevelType w:val="hybridMultilevel"/>
    <w:tmpl w:val="AB8E0C78"/>
    <w:lvl w:ilvl="0" w:tplc="DB469520">
      <w:start w:val="1"/>
      <w:numFmt w:val="upperRoman"/>
      <w:lvlText w:val="%1."/>
      <w:lvlJc w:val="left"/>
      <w:pPr>
        <w:ind w:left="1080" w:hanging="720"/>
      </w:pPr>
      <w:rPr>
        <w:rFonts w:hint="default"/>
        <w:b/>
      </w:rPr>
    </w:lvl>
    <w:lvl w:ilvl="1" w:tplc="C7629A06">
      <w:start w:val="1"/>
      <w:numFmt w:val="upperLetter"/>
      <w:lvlText w:val="%2."/>
      <w:lvlJc w:val="left"/>
      <w:pPr>
        <w:ind w:left="1440" w:hanging="360"/>
      </w:pPr>
      <w:rPr>
        <w:b/>
      </w:rPr>
    </w:lvl>
    <w:lvl w:ilvl="2" w:tplc="47E803FE">
      <w:start w:val="1"/>
      <w:numFmt w:val="lowerRoman"/>
      <w:lvlText w:val="%3."/>
      <w:lvlJc w:val="right"/>
      <w:pPr>
        <w:ind w:left="2160" w:hanging="180"/>
      </w:pPr>
      <w:rPr>
        <w:b/>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856FC7"/>
    <w:multiLevelType w:val="hybridMultilevel"/>
    <w:tmpl w:val="7B6A0258"/>
    <w:lvl w:ilvl="0" w:tplc="4426E84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25029F"/>
    <w:multiLevelType w:val="hybridMultilevel"/>
    <w:tmpl w:val="97F88878"/>
    <w:lvl w:ilvl="0" w:tplc="6772177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EF47CAF"/>
    <w:multiLevelType w:val="hybridMultilevel"/>
    <w:tmpl w:val="D96C92AC"/>
    <w:lvl w:ilvl="0" w:tplc="47E803FE">
      <w:start w:val="1"/>
      <w:numFmt w:val="lowerRoman"/>
      <w:lvlText w:val="%1."/>
      <w:lvlJc w:val="right"/>
      <w:pPr>
        <w:ind w:left="2160" w:hanging="18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7365C3"/>
    <w:multiLevelType w:val="hybridMultilevel"/>
    <w:tmpl w:val="D96C92AC"/>
    <w:lvl w:ilvl="0" w:tplc="47E803FE">
      <w:start w:val="1"/>
      <w:numFmt w:val="lowerRoman"/>
      <w:lvlText w:val="%1."/>
      <w:lvlJc w:val="right"/>
      <w:pPr>
        <w:ind w:left="2160" w:hanging="18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6390F16"/>
    <w:multiLevelType w:val="hybridMultilevel"/>
    <w:tmpl w:val="B9DE0A58"/>
    <w:lvl w:ilvl="0" w:tplc="C458F15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360343F"/>
    <w:multiLevelType w:val="multilevel"/>
    <w:tmpl w:val="6BEA576C"/>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68653C6F"/>
    <w:multiLevelType w:val="hybridMultilevel"/>
    <w:tmpl w:val="F922412C"/>
    <w:lvl w:ilvl="0" w:tplc="2580FACC">
      <w:start w:val="3"/>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E1B4EF5"/>
    <w:multiLevelType w:val="hybridMultilevel"/>
    <w:tmpl w:val="D96C92AC"/>
    <w:lvl w:ilvl="0" w:tplc="47E803FE">
      <w:start w:val="1"/>
      <w:numFmt w:val="lowerRoman"/>
      <w:lvlText w:val="%1."/>
      <w:lvlJc w:val="right"/>
      <w:pPr>
        <w:ind w:left="1620" w:hanging="180"/>
      </w:pPr>
      <w:rPr>
        <w:b/>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6">
    <w:nsid w:val="746753EF"/>
    <w:multiLevelType w:val="hybridMultilevel"/>
    <w:tmpl w:val="707A5790"/>
    <w:lvl w:ilvl="0" w:tplc="C7629A06">
      <w:start w:val="1"/>
      <w:numFmt w:val="upperLetter"/>
      <w:lvlText w:val="%1."/>
      <w:lvlJc w:val="left"/>
      <w:pPr>
        <w:ind w:left="14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5127D25"/>
    <w:multiLevelType w:val="hybridMultilevel"/>
    <w:tmpl w:val="019E50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9E5192B"/>
    <w:multiLevelType w:val="hybridMultilevel"/>
    <w:tmpl w:val="03D0876A"/>
    <w:lvl w:ilvl="0" w:tplc="AF9457D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4"/>
  </w:num>
  <w:num w:numId="3">
    <w:abstractNumId w:val="18"/>
  </w:num>
  <w:num w:numId="4">
    <w:abstractNumId w:val="7"/>
  </w:num>
  <w:num w:numId="5">
    <w:abstractNumId w:val="17"/>
  </w:num>
  <w:num w:numId="6">
    <w:abstractNumId w:val="13"/>
  </w:num>
  <w:num w:numId="7">
    <w:abstractNumId w:val="14"/>
  </w:num>
  <w:num w:numId="8">
    <w:abstractNumId w:val="16"/>
  </w:num>
  <w:num w:numId="9">
    <w:abstractNumId w:val="6"/>
  </w:num>
  <w:num w:numId="10">
    <w:abstractNumId w:val="5"/>
  </w:num>
  <w:num w:numId="11">
    <w:abstractNumId w:val="9"/>
  </w:num>
  <w:num w:numId="12">
    <w:abstractNumId w:val="12"/>
  </w:num>
  <w:num w:numId="13">
    <w:abstractNumId w:val="15"/>
  </w:num>
  <w:num w:numId="14">
    <w:abstractNumId w:val="10"/>
  </w:num>
  <w:num w:numId="15">
    <w:abstractNumId w:val="11"/>
  </w:num>
  <w:num w:numId="16">
    <w:abstractNumId w:val="3"/>
  </w:num>
  <w:num w:numId="17">
    <w:abstractNumId w:val="8"/>
  </w:num>
  <w:num w:numId="18">
    <w:abstractNumId w:val="2"/>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3986"/>
    <w:rsid w:val="00003E87"/>
    <w:rsid w:val="000273ED"/>
    <w:rsid w:val="00044F36"/>
    <w:rsid w:val="000519D2"/>
    <w:rsid w:val="00071492"/>
    <w:rsid w:val="00076C6A"/>
    <w:rsid w:val="000772C8"/>
    <w:rsid w:val="00077CD5"/>
    <w:rsid w:val="00097159"/>
    <w:rsid w:val="000A2FAC"/>
    <w:rsid w:val="000A7D95"/>
    <w:rsid w:val="000C071B"/>
    <w:rsid w:val="000D0A52"/>
    <w:rsid w:val="000F1C4F"/>
    <w:rsid w:val="001161A5"/>
    <w:rsid w:val="0011686C"/>
    <w:rsid w:val="00130841"/>
    <w:rsid w:val="001443AD"/>
    <w:rsid w:val="00170376"/>
    <w:rsid w:val="001710E5"/>
    <w:rsid w:val="00177D34"/>
    <w:rsid w:val="001A6A9F"/>
    <w:rsid w:val="001B507D"/>
    <w:rsid w:val="001E047E"/>
    <w:rsid w:val="001E63DA"/>
    <w:rsid w:val="001F086A"/>
    <w:rsid w:val="002112E1"/>
    <w:rsid w:val="00213A0D"/>
    <w:rsid w:val="00226B87"/>
    <w:rsid w:val="002600ED"/>
    <w:rsid w:val="00264112"/>
    <w:rsid w:val="00267AAA"/>
    <w:rsid w:val="0027335D"/>
    <w:rsid w:val="002A18FB"/>
    <w:rsid w:val="00313CAB"/>
    <w:rsid w:val="00321EF5"/>
    <w:rsid w:val="00326987"/>
    <w:rsid w:val="00352378"/>
    <w:rsid w:val="00360B01"/>
    <w:rsid w:val="00371E84"/>
    <w:rsid w:val="00377C82"/>
    <w:rsid w:val="003A73DF"/>
    <w:rsid w:val="003C0089"/>
    <w:rsid w:val="003D5055"/>
    <w:rsid w:val="00413460"/>
    <w:rsid w:val="00451A05"/>
    <w:rsid w:val="00454733"/>
    <w:rsid w:val="00454CCA"/>
    <w:rsid w:val="00471FDA"/>
    <w:rsid w:val="00482F12"/>
    <w:rsid w:val="004A23BB"/>
    <w:rsid w:val="004A3C75"/>
    <w:rsid w:val="004B4466"/>
    <w:rsid w:val="004B51E0"/>
    <w:rsid w:val="004F5C85"/>
    <w:rsid w:val="00514E71"/>
    <w:rsid w:val="00524DC8"/>
    <w:rsid w:val="0053152E"/>
    <w:rsid w:val="00532868"/>
    <w:rsid w:val="005354C0"/>
    <w:rsid w:val="00566420"/>
    <w:rsid w:val="00567AF7"/>
    <w:rsid w:val="0057033D"/>
    <w:rsid w:val="00570C75"/>
    <w:rsid w:val="00573742"/>
    <w:rsid w:val="005868C0"/>
    <w:rsid w:val="00591FE3"/>
    <w:rsid w:val="005A4368"/>
    <w:rsid w:val="005B51B9"/>
    <w:rsid w:val="005E30B1"/>
    <w:rsid w:val="005E7B96"/>
    <w:rsid w:val="00633D7B"/>
    <w:rsid w:val="00636E66"/>
    <w:rsid w:val="0064393E"/>
    <w:rsid w:val="0064766B"/>
    <w:rsid w:val="00657651"/>
    <w:rsid w:val="00657DD5"/>
    <w:rsid w:val="006657CB"/>
    <w:rsid w:val="006748A8"/>
    <w:rsid w:val="006A0F81"/>
    <w:rsid w:val="006A1527"/>
    <w:rsid w:val="006A369B"/>
    <w:rsid w:val="006B1939"/>
    <w:rsid w:val="006B563A"/>
    <w:rsid w:val="006C1813"/>
    <w:rsid w:val="006D5F2F"/>
    <w:rsid w:val="006D6FB3"/>
    <w:rsid w:val="006E1786"/>
    <w:rsid w:val="006E1E62"/>
    <w:rsid w:val="006E3862"/>
    <w:rsid w:val="006F597C"/>
    <w:rsid w:val="00704618"/>
    <w:rsid w:val="00712584"/>
    <w:rsid w:val="00722D5A"/>
    <w:rsid w:val="00722E90"/>
    <w:rsid w:val="00733238"/>
    <w:rsid w:val="00764AFF"/>
    <w:rsid w:val="007770A9"/>
    <w:rsid w:val="007B066A"/>
    <w:rsid w:val="007B20EF"/>
    <w:rsid w:val="007B5452"/>
    <w:rsid w:val="007C1DAC"/>
    <w:rsid w:val="007D11CF"/>
    <w:rsid w:val="00807540"/>
    <w:rsid w:val="0081449E"/>
    <w:rsid w:val="00846A83"/>
    <w:rsid w:val="00847330"/>
    <w:rsid w:val="00862E7D"/>
    <w:rsid w:val="00874ADB"/>
    <w:rsid w:val="008D0A6F"/>
    <w:rsid w:val="008D4E8C"/>
    <w:rsid w:val="008E672C"/>
    <w:rsid w:val="008F04D6"/>
    <w:rsid w:val="008F1E07"/>
    <w:rsid w:val="008F5AB7"/>
    <w:rsid w:val="00900740"/>
    <w:rsid w:val="009007D7"/>
    <w:rsid w:val="00904F4B"/>
    <w:rsid w:val="00917B3E"/>
    <w:rsid w:val="0092285F"/>
    <w:rsid w:val="009368E5"/>
    <w:rsid w:val="0094427D"/>
    <w:rsid w:val="00951940"/>
    <w:rsid w:val="009711F6"/>
    <w:rsid w:val="00986EDA"/>
    <w:rsid w:val="009A0D7C"/>
    <w:rsid w:val="009A5B7C"/>
    <w:rsid w:val="009B535A"/>
    <w:rsid w:val="009C740D"/>
    <w:rsid w:val="00A10701"/>
    <w:rsid w:val="00A14127"/>
    <w:rsid w:val="00A224EE"/>
    <w:rsid w:val="00A26970"/>
    <w:rsid w:val="00A33A15"/>
    <w:rsid w:val="00A3742E"/>
    <w:rsid w:val="00A41197"/>
    <w:rsid w:val="00A46F47"/>
    <w:rsid w:val="00A62337"/>
    <w:rsid w:val="00A71F0D"/>
    <w:rsid w:val="00A76EAC"/>
    <w:rsid w:val="00A972CA"/>
    <w:rsid w:val="00AA3986"/>
    <w:rsid w:val="00AB5523"/>
    <w:rsid w:val="00AB588E"/>
    <w:rsid w:val="00AC4BE1"/>
    <w:rsid w:val="00AD1075"/>
    <w:rsid w:val="00AD1B67"/>
    <w:rsid w:val="00AD1D2B"/>
    <w:rsid w:val="00AD200E"/>
    <w:rsid w:val="00AD65C1"/>
    <w:rsid w:val="00AE2CD7"/>
    <w:rsid w:val="00AF412B"/>
    <w:rsid w:val="00B40647"/>
    <w:rsid w:val="00B56464"/>
    <w:rsid w:val="00B56A06"/>
    <w:rsid w:val="00B95793"/>
    <w:rsid w:val="00BA491E"/>
    <w:rsid w:val="00BA5C33"/>
    <w:rsid w:val="00BC2F04"/>
    <w:rsid w:val="00BC6022"/>
    <w:rsid w:val="00BD30BB"/>
    <w:rsid w:val="00BE3093"/>
    <w:rsid w:val="00BF2302"/>
    <w:rsid w:val="00C00CAD"/>
    <w:rsid w:val="00C01812"/>
    <w:rsid w:val="00C12532"/>
    <w:rsid w:val="00C31E0D"/>
    <w:rsid w:val="00C41C06"/>
    <w:rsid w:val="00C50DE2"/>
    <w:rsid w:val="00C60ABE"/>
    <w:rsid w:val="00C763D4"/>
    <w:rsid w:val="00C90FC5"/>
    <w:rsid w:val="00C949F0"/>
    <w:rsid w:val="00CA029C"/>
    <w:rsid w:val="00CA78D9"/>
    <w:rsid w:val="00CB5381"/>
    <w:rsid w:val="00CD0113"/>
    <w:rsid w:val="00CD3D26"/>
    <w:rsid w:val="00CF313E"/>
    <w:rsid w:val="00D17EC3"/>
    <w:rsid w:val="00D35D76"/>
    <w:rsid w:val="00D40B39"/>
    <w:rsid w:val="00D60DEC"/>
    <w:rsid w:val="00D6592A"/>
    <w:rsid w:val="00D720DE"/>
    <w:rsid w:val="00D77ACD"/>
    <w:rsid w:val="00DA12AB"/>
    <w:rsid w:val="00DA1C41"/>
    <w:rsid w:val="00DA5404"/>
    <w:rsid w:val="00DC1923"/>
    <w:rsid w:val="00DD1C61"/>
    <w:rsid w:val="00DD2317"/>
    <w:rsid w:val="00DE20B2"/>
    <w:rsid w:val="00E328E0"/>
    <w:rsid w:val="00E43344"/>
    <w:rsid w:val="00E67672"/>
    <w:rsid w:val="00E8645B"/>
    <w:rsid w:val="00EA3EEC"/>
    <w:rsid w:val="00EB38D7"/>
    <w:rsid w:val="00EC4C44"/>
    <w:rsid w:val="00EC5260"/>
    <w:rsid w:val="00ED41CB"/>
    <w:rsid w:val="00EE5B27"/>
    <w:rsid w:val="00F22988"/>
    <w:rsid w:val="00F2497D"/>
    <w:rsid w:val="00F42CA1"/>
    <w:rsid w:val="00F5100B"/>
    <w:rsid w:val="00F62DDF"/>
    <w:rsid w:val="00F72035"/>
    <w:rsid w:val="00FA008B"/>
    <w:rsid w:val="00FB53F6"/>
    <w:rsid w:val="00FC75D1"/>
    <w:rsid w:val="00FD3AB6"/>
    <w:rsid w:val="00FE493D"/>
    <w:rsid w:val="00FF6B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667F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FB3"/>
    <w:pPr>
      <w:widowControl w:val="0"/>
      <w:spacing w:after="0" w:line="240" w:lineRule="auto"/>
    </w:pPr>
    <w:rPr>
      <w:rFonts w:ascii="Times New Roman" w:eastAsia="Times New Roman" w:hAnsi="Times New Roman" w:cs="Times New Roman"/>
      <w:snapToGrid w:val="0"/>
      <w:sz w:val="24"/>
      <w:szCs w:val="20"/>
    </w:rPr>
  </w:style>
  <w:style w:type="paragraph" w:styleId="Heading2">
    <w:name w:val="heading 2"/>
    <w:basedOn w:val="Normal"/>
    <w:next w:val="Normal"/>
    <w:link w:val="Heading2Char"/>
    <w:qFormat/>
    <w:rsid w:val="006D6FB3"/>
    <w:pPr>
      <w:keepNext/>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0A52"/>
    <w:pPr>
      <w:ind w:left="720"/>
      <w:contextualSpacing/>
    </w:pPr>
  </w:style>
  <w:style w:type="paragraph" w:customStyle="1" w:styleId="Default">
    <w:name w:val="Default"/>
    <w:rsid w:val="000D0A52"/>
    <w:pPr>
      <w:autoSpaceDE w:val="0"/>
      <w:autoSpaceDN w:val="0"/>
      <w:adjustRightInd w:val="0"/>
      <w:spacing w:after="0" w:line="240" w:lineRule="auto"/>
    </w:pPr>
    <w:rPr>
      <w:rFonts w:ascii="Century Schoolbook" w:hAnsi="Century Schoolbook" w:cs="Century Schoolbook"/>
      <w:color w:val="000000"/>
      <w:sz w:val="24"/>
      <w:szCs w:val="24"/>
    </w:rPr>
  </w:style>
  <w:style w:type="character" w:customStyle="1" w:styleId="Heading2Char">
    <w:name w:val="Heading 2 Char"/>
    <w:basedOn w:val="DefaultParagraphFont"/>
    <w:link w:val="Heading2"/>
    <w:rsid w:val="006D6FB3"/>
    <w:rPr>
      <w:rFonts w:ascii="Times New Roman" w:eastAsia="Times New Roman" w:hAnsi="Times New Roman" w:cs="Times New Roman"/>
      <w:b/>
      <w:snapToGrid w:val="0"/>
      <w:sz w:val="24"/>
      <w:szCs w:val="20"/>
    </w:rPr>
  </w:style>
  <w:style w:type="paragraph" w:styleId="Title">
    <w:name w:val="Title"/>
    <w:basedOn w:val="Normal"/>
    <w:link w:val="TitleChar"/>
    <w:qFormat/>
    <w:rsid w:val="006D6FB3"/>
    <w:pPr>
      <w:jc w:val="center"/>
    </w:pPr>
    <w:rPr>
      <w:b/>
    </w:rPr>
  </w:style>
  <w:style w:type="character" w:customStyle="1" w:styleId="TitleChar">
    <w:name w:val="Title Char"/>
    <w:basedOn w:val="DefaultParagraphFont"/>
    <w:link w:val="Title"/>
    <w:rsid w:val="006D6FB3"/>
    <w:rPr>
      <w:rFonts w:ascii="Times New Roman" w:eastAsia="Times New Roman" w:hAnsi="Times New Roman" w:cs="Times New Roman"/>
      <w:b/>
      <w:snapToGrid w:val="0"/>
      <w:sz w:val="24"/>
      <w:szCs w:val="20"/>
    </w:rPr>
  </w:style>
  <w:style w:type="character" w:customStyle="1" w:styleId="ssleftalign">
    <w:name w:val="ss_leftalign"/>
    <w:basedOn w:val="DefaultParagraphFont"/>
    <w:rsid w:val="00C50DE2"/>
  </w:style>
  <w:style w:type="character" w:styleId="Hyperlink">
    <w:name w:val="Hyperlink"/>
    <w:basedOn w:val="DefaultParagraphFont"/>
    <w:uiPriority w:val="99"/>
    <w:unhideWhenUsed/>
    <w:rsid w:val="00C50DE2"/>
    <w:rPr>
      <w:color w:val="0000FF"/>
      <w:u w:val="single"/>
    </w:rPr>
  </w:style>
  <w:style w:type="character" w:customStyle="1" w:styleId="ssit">
    <w:name w:val="ss_it"/>
    <w:basedOn w:val="DefaultParagraphFont"/>
    <w:rsid w:val="00C50DE2"/>
  </w:style>
  <w:style w:type="character" w:customStyle="1" w:styleId="ssrfcpassagedeactivated">
    <w:name w:val="ss_rfcpassage_deactivated"/>
    <w:basedOn w:val="DefaultParagraphFont"/>
    <w:rsid w:val="00C50DE2"/>
  </w:style>
  <w:style w:type="character" w:customStyle="1" w:styleId="ssib">
    <w:name w:val="ss_ib"/>
    <w:basedOn w:val="DefaultParagraphFont"/>
    <w:rsid w:val="00C50DE2"/>
  </w:style>
  <w:style w:type="character" w:styleId="FollowedHyperlink">
    <w:name w:val="FollowedHyperlink"/>
    <w:basedOn w:val="DefaultParagraphFont"/>
    <w:uiPriority w:val="99"/>
    <w:semiHidden/>
    <w:unhideWhenUsed/>
    <w:rsid w:val="00E8645B"/>
    <w:rPr>
      <w:color w:val="800080" w:themeColor="followedHyperlink"/>
      <w:u w:val="single"/>
    </w:rPr>
  </w:style>
  <w:style w:type="character" w:customStyle="1" w:styleId="costarpage">
    <w:name w:val="co_starpage"/>
    <w:basedOn w:val="DefaultParagraphFont"/>
    <w:rsid w:val="006B1939"/>
  </w:style>
  <w:style w:type="paragraph" w:styleId="Header">
    <w:name w:val="header"/>
    <w:basedOn w:val="Normal"/>
    <w:link w:val="HeaderChar"/>
    <w:uiPriority w:val="99"/>
    <w:unhideWhenUsed/>
    <w:rsid w:val="006B1939"/>
    <w:pPr>
      <w:tabs>
        <w:tab w:val="center" w:pos="4680"/>
        <w:tab w:val="right" w:pos="9360"/>
      </w:tabs>
    </w:pPr>
  </w:style>
  <w:style w:type="character" w:customStyle="1" w:styleId="HeaderChar">
    <w:name w:val="Header Char"/>
    <w:basedOn w:val="DefaultParagraphFont"/>
    <w:link w:val="Header"/>
    <w:uiPriority w:val="99"/>
    <w:rsid w:val="006B1939"/>
    <w:rPr>
      <w:rFonts w:ascii="Times New Roman" w:eastAsia="Times New Roman" w:hAnsi="Times New Roman" w:cs="Times New Roman"/>
      <w:snapToGrid w:val="0"/>
      <w:sz w:val="24"/>
      <w:szCs w:val="20"/>
    </w:rPr>
  </w:style>
  <w:style w:type="paragraph" w:styleId="Footer">
    <w:name w:val="footer"/>
    <w:basedOn w:val="Normal"/>
    <w:link w:val="FooterChar"/>
    <w:uiPriority w:val="99"/>
    <w:unhideWhenUsed/>
    <w:rsid w:val="006B1939"/>
    <w:pPr>
      <w:tabs>
        <w:tab w:val="center" w:pos="4680"/>
        <w:tab w:val="right" w:pos="9360"/>
      </w:tabs>
    </w:pPr>
  </w:style>
  <w:style w:type="character" w:customStyle="1" w:styleId="FooterChar">
    <w:name w:val="Footer Char"/>
    <w:basedOn w:val="DefaultParagraphFont"/>
    <w:link w:val="Footer"/>
    <w:uiPriority w:val="99"/>
    <w:rsid w:val="006B1939"/>
    <w:rPr>
      <w:rFonts w:ascii="Times New Roman" w:eastAsia="Times New Roman" w:hAnsi="Times New Roman" w:cs="Times New Roman"/>
      <w:snapToGrid w:val="0"/>
      <w:sz w:val="24"/>
      <w:szCs w:val="20"/>
    </w:rPr>
  </w:style>
  <w:style w:type="character" w:styleId="Emphasis">
    <w:name w:val="Emphasis"/>
    <w:basedOn w:val="DefaultParagraphFont"/>
    <w:uiPriority w:val="20"/>
    <w:qFormat/>
    <w:rsid w:val="00AB5523"/>
    <w:rPr>
      <w:i/>
      <w:iCs/>
    </w:rPr>
  </w:style>
  <w:style w:type="paragraph" w:styleId="BalloonText">
    <w:name w:val="Balloon Text"/>
    <w:basedOn w:val="Normal"/>
    <w:link w:val="BalloonTextChar"/>
    <w:uiPriority w:val="99"/>
    <w:semiHidden/>
    <w:unhideWhenUsed/>
    <w:rsid w:val="00764AFF"/>
    <w:rPr>
      <w:rFonts w:ascii="Tahoma" w:hAnsi="Tahoma" w:cs="Tahoma"/>
      <w:sz w:val="16"/>
      <w:szCs w:val="16"/>
    </w:rPr>
  </w:style>
  <w:style w:type="character" w:customStyle="1" w:styleId="BalloonTextChar">
    <w:name w:val="Balloon Text Char"/>
    <w:basedOn w:val="DefaultParagraphFont"/>
    <w:link w:val="BalloonText"/>
    <w:uiPriority w:val="99"/>
    <w:semiHidden/>
    <w:rsid w:val="00764AFF"/>
    <w:rPr>
      <w:rFonts w:ascii="Tahoma" w:eastAsia="Times New Roman" w:hAnsi="Tahoma" w:cs="Tahoma"/>
      <w:snapToGrid w:val="0"/>
      <w:sz w:val="16"/>
      <w:szCs w:val="16"/>
    </w:rPr>
  </w:style>
  <w:style w:type="character" w:customStyle="1" w:styleId="cohl">
    <w:name w:val="co_hl"/>
    <w:basedOn w:val="DefaultParagraphFont"/>
    <w:rsid w:val="000772C8"/>
  </w:style>
  <w:style w:type="character" w:customStyle="1" w:styleId="ssens">
    <w:name w:val="ssens"/>
    <w:basedOn w:val="DefaultParagraphFont"/>
    <w:rsid w:val="00FA008B"/>
  </w:style>
  <w:style w:type="character" w:customStyle="1" w:styleId="vi">
    <w:name w:val="vi"/>
    <w:basedOn w:val="DefaultParagraphFont"/>
    <w:rsid w:val="00FA008B"/>
  </w:style>
  <w:style w:type="character" w:customStyle="1" w:styleId="corelatedinfohoverboxpngtreatmenttext">
    <w:name w:val="co_relatedinfo_hoverbox_png_treatmenttext"/>
    <w:basedOn w:val="DefaultParagraphFont"/>
    <w:rsid w:val="00A46F47"/>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FB3"/>
    <w:pPr>
      <w:widowControl w:val="0"/>
      <w:spacing w:after="0" w:line="240" w:lineRule="auto"/>
    </w:pPr>
    <w:rPr>
      <w:rFonts w:ascii="Times New Roman" w:eastAsia="Times New Roman" w:hAnsi="Times New Roman" w:cs="Times New Roman"/>
      <w:snapToGrid w:val="0"/>
      <w:sz w:val="24"/>
      <w:szCs w:val="20"/>
    </w:rPr>
  </w:style>
  <w:style w:type="paragraph" w:styleId="Heading2">
    <w:name w:val="heading 2"/>
    <w:basedOn w:val="Normal"/>
    <w:next w:val="Normal"/>
    <w:link w:val="Heading2Char"/>
    <w:qFormat/>
    <w:rsid w:val="006D6FB3"/>
    <w:pPr>
      <w:keepNext/>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0A52"/>
    <w:pPr>
      <w:ind w:left="720"/>
      <w:contextualSpacing/>
    </w:pPr>
  </w:style>
  <w:style w:type="paragraph" w:customStyle="1" w:styleId="Default">
    <w:name w:val="Default"/>
    <w:rsid w:val="000D0A52"/>
    <w:pPr>
      <w:autoSpaceDE w:val="0"/>
      <w:autoSpaceDN w:val="0"/>
      <w:adjustRightInd w:val="0"/>
      <w:spacing w:after="0" w:line="240" w:lineRule="auto"/>
    </w:pPr>
    <w:rPr>
      <w:rFonts w:ascii="Century Schoolbook" w:hAnsi="Century Schoolbook" w:cs="Century Schoolbook"/>
      <w:color w:val="000000"/>
      <w:sz w:val="24"/>
      <w:szCs w:val="24"/>
    </w:rPr>
  </w:style>
  <w:style w:type="character" w:customStyle="1" w:styleId="Heading2Char">
    <w:name w:val="Heading 2 Char"/>
    <w:basedOn w:val="DefaultParagraphFont"/>
    <w:link w:val="Heading2"/>
    <w:rsid w:val="006D6FB3"/>
    <w:rPr>
      <w:rFonts w:ascii="Times New Roman" w:eastAsia="Times New Roman" w:hAnsi="Times New Roman" w:cs="Times New Roman"/>
      <w:b/>
      <w:snapToGrid w:val="0"/>
      <w:sz w:val="24"/>
      <w:szCs w:val="20"/>
    </w:rPr>
  </w:style>
  <w:style w:type="paragraph" w:styleId="Title">
    <w:name w:val="Title"/>
    <w:basedOn w:val="Normal"/>
    <w:link w:val="TitleChar"/>
    <w:qFormat/>
    <w:rsid w:val="006D6FB3"/>
    <w:pPr>
      <w:jc w:val="center"/>
    </w:pPr>
    <w:rPr>
      <w:b/>
    </w:rPr>
  </w:style>
  <w:style w:type="character" w:customStyle="1" w:styleId="TitleChar">
    <w:name w:val="Title Char"/>
    <w:basedOn w:val="DefaultParagraphFont"/>
    <w:link w:val="Title"/>
    <w:rsid w:val="006D6FB3"/>
    <w:rPr>
      <w:rFonts w:ascii="Times New Roman" w:eastAsia="Times New Roman" w:hAnsi="Times New Roman" w:cs="Times New Roman"/>
      <w:b/>
      <w:snapToGrid w:val="0"/>
      <w:sz w:val="24"/>
      <w:szCs w:val="20"/>
    </w:rPr>
  </w:style>
  <w:style w:type="character" w:customStyle="1" w:styleId="ssleftalign">
    <w:name w:val="ss_leftalign"/>
    <w:basedOn w:val="DefaultParagraphFont"/>
    <w:rsid w:val="00C50DE2"/>
  </w:style>
  <w:style w:type="character" w:styleId="Hyperlink">
    <w:name w:val="Hyperlink"/>
    <w:basedOn w:val="DefaultParagraphFont"/>
    <w:uiPriority w:val="99"/>
    <w:unhideWhenUsed/>
    <w:rsid w:val="00C50DE2"/>
    <w:rPr>
      <w:color w:val="0000FF"/>
      <w:u w:val="single"/>
    </w:rPr>
  </w:style>
  <w:style w:type="character" w:customStyle="1" w:styleId="ssit">
    <w:name w:val="ss_it"/>
    <w:basedOn w:val="DefaultParagraphFont"/>
    <w:rsid w:val="00C50DE2"/>
  </w:style>
  <w:style w:type="character" w:customStyle="1" w:styleId="ssrfcpassagedeactivated">
    <w:name w:val="ss_rfcpassage_deactivated"/>
    <w:basedOn w:val="DefaultParagraphFont"/>
    <w:rsid w:val="00C50DE2"/>
  </w:style>
  <w:style w:type="character" w:customStyle="1" w:styleId="ssib">
    <w:name w:val="ss_ib"/>
    <w:basedOn w:val="DefaultParagraphFont"/>
    <w:rsid w:val="00C50DE2"/>
  </w:style>
  <w:style w:type="character" w:styleId="FollowedHyperlink">
    <w:name w:val="FollowedHyperlink"/>
    <w:basedOn w:val="DefaultParagraphFont"/>
    <w:uiPriority w:val="99"/>
    <w:semiHidden/>
    <w:unhideWhenUsed/>
    <w:rsid w:val="00E8645B"/>
    <w:rPr>
      <w:color w:val="800080" w:themeColor="followedHyperlink"/>
      <w:u w:val="single"/>
    </w:rPr>
  </w:style>
  <w:style w:type="character" w:customStyle="1" w:styleId="costarpage">
    <w:name w:val="co_starpage"/>
    <w:basedOn w:val="DefaultParagraphFont"/>
    <w:rsid w:val="006B1939"/>
  </w:style>
  <w:style w:type="paragraph" w:styleId="Header">
    <w:name w:val="header"/>
    <w:basedOn w:val="Normal"/>
    <w:link w:val="HeaderChar"/>
    <w:uiPriority w:val="99"/>
    <w:unhideWhenUsed/>
    <w:rsid w:val="006B1939"/>
    <w:pPr>
      <w:tabs>
        <w:tab w:val="center" w:pos="4680"/>
        <w:tab w:val="right" w:pos="9360"/>
      </w:tabs>
    </w:pPr>
  </w:style>
  <w:style w:type="character" w:customStyle="1" w:styleId="HeaderChar">
    <w:name w:val="Header Char"/>
    <w:basedOn w:val="DefaultParagraphFont"/>
    <w:link w:val="Header"/>
    <w:uiPriority w:val="99"/>
    <w:rsid w:val="006B1939"/>
    <w:rPr>
      <w:rFonts w:ascii="Times New Roman" w:eastAsia="Times New Roman" w:hAnsi="Times New Roman" w:cs="Times New Roman"/>
      <w:snapToGrid w:val="0"/>
      <w:sz w:val="24"/>
      <w:szCs w:val="20"/>
    </w:rPr>
  </w:style>
  <w:style w:type="paragraph" w:styleId="Footer">
    <w:name w:val="footer"/>
    <w:basedOn w:val="Normal"/>
    <w:link w:val="FooterChar"/>
    <w:uiPriority w:val="99"/>
    <w:unhideWhenUsed/>
    <w:rsid w:val="006B1939"/>
    <w:pPr>
      <w:tabs>
        <w:tab w:val="center" w:pos="4680"/>
        <w:tab w:val="right" w:pos="9360"/>
      </w:tabs>
    </w:pPr>
  </w:style>
  <w:style w:type="character" w:customStyle="1" w:styleId="FooterChar">
    <w:name w:val="Footer Char"/>
    <w:basedOn w:val="DefaultParagraphFont"/>
    <w:link w:val="Footer"/>
    <w:uiPriority w:val="99"/>
    <w:rsid w:val="006B1939"/>
    <w:rPr>
      <w:rFonts w:ascii="Times New Roman" w:eastAsia="Times New Roman" w:hAnsi="Times New Roman" w:cs="Times New Roman"/>
      <w:snapToGrid w:val="0"/>
      <w:sz w:val="24"/>
      <w:szCs w:val="20"/>
    </w:rPr>
  </w:style>
  <w:style w:type="character" w:styleId="Emphasis">
    <w:name w:val="Emphasis"/>
    <w:basedOn w:val="DefaultParagraphFont"/>
    <w:uiPriority w:val="20"/>
    <w:qFormat/>
    <w:rsid w:val="00AB5523"/>
    <w:rPr>
      <w:i/>
      <w:iCs/>
    </w:rPr>
  </w:style>
  <w:style w:type="paragraph" w:styleId="BalloonText">
    <w:name w:val="Balloon Text"/>
    <w:basedOn w:val="Normal"/>
    <w:link w:val="BalloonTextChar"/>
    <w:uiPriority w:val="99"/>
    <w:semiHidden/>
    <w:unhideWhenUsed/>
    <w:rsid w:val="00764AFF"/>
    <w:rPr>
      <w:rFonts w:ascii="Tahoma" w:hAnsi="Tahoma" w:cs="Tahoma"/>
      <w:sz w:val="16"/>
      <w:szCs w:val="16"/>
    </w:rPr>
  </w:style>
  <w:style w:type="character" w:customStyle="1" w:styleId="BalloonTextChar">
    <w:name w:val="Balloon Text Char"/>
    <w:basedOn w:val="DefaultParagraphFont"/>
    <w:link w:val="BalloonText"/>
    <w:uiPriority w:val="99"/>
    <w:semiHidden/>
    <w:rsid w:val="00764AFF"/>
    <w:rPr>
      <w:rFonts w:ascii="Tahoma" w:eastAsia="Times New Roman" w:hAnsi="Tahoma" w:cs="Tahoma"/>
      <w:snapToGrid w:val="0"/>
      <w:sz w:val="16"/>
      <w:szCs w:val="16"/>
    </w:rPr>
  </w:style>
  <w:style w:type="character" w:customStyle="1" w:styleId="cohl">
    <w:name w:val="co_hl"/>
    <w:basedOn w:val="DefaultParagraphFont"/>
    <w:rsid w:val="000772C8"/>
  </w:style>
  <w:style w:type="character" w:customStyle="1" w:styleId="ssens">
    <w:name w:val="ssens"/>
    <w:basedOn w:val="DefaultParagraphFont"/>
    <w:rsid w:val="00FA008B"/>
  </w:style>
  <w:style w:type="character" w:customStyle="1" w:styleId="vi">
    <w:name w:val="vi"/>
    <w:basedOn w:val="DefaultParagraphFont"/>
    <w:rsid w:val="00FA008B"/>
  </w:style>
  <w:style w:type="character" w:customStyle="1" w:styleId="corelatedinfohoverboxpngtreatmenttext">
    <w:name w:val="co_relatedinfo_hoverbox_png_treatmenttext"/>
    <w:basedOn w:val="DefaultParagraphFont"/>
    <w:rsid w:val="00A46F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42686">
      <w:bodyDiv w:val="1"/>
      <w:marLeft w:val="0"/>
      <w:marRight w:val="0"/>
      <w:marTop w:val="0"/>
      <w:marBottom w:val="0"/>
      <w:divBdr>
        <w:top w:val="none" w:sz="0" w:space="0" w:color="auto"/>
        <w:left w:val="none" w:sz="0" w:space="0" w:color="auto"/>
        <w:bottom w:val="none" w:sz="0" w:space="0" w:color="auto"/>
        <w:right w:val="none" w:sz="0" w:space="0" w:color="auto"/>
      </w:divBdr>
      <w:divsChild>
        <w:div w:id="1692876654">
          <w:marLeft w:val="0"/>
          <w:marRight w:val="0"/>
          <w:marTop w:val="0"/>
          <w:marBottom w:val="0"/>
          <w:divBdr>
            <w:top w:val="none" w:sz="0" w:space="0" w:color="auto"/>
            <w:left w:val="none" w:sz="0" w:space="0" w:color="auto"/>
            <w:bottom w:val="none" w:sz="0" w:space="0" w:color="auto"/>
            <w:right w:val="none" w:sz="0" w:space="0" w:color="auto"/>
          </w:divBdr>
        </w:div>
        <w:div w:id="1730374967">
          <w:marLeft w:val="0"/>
          <w:marRight w:val="0"/>
          <w:marTop w:val="0"/>
          <w:marBottom w:val="0"/>
          <w:divBdr>
            <w:top w:val="none" w:sz="0" w:space="0" w:color="auto"/>
            <w:left w:val="none" w:sz="0" w:space="0" w:color="auto"/>
            <w:bottom w:val="none" w:sz="0" w:space="0" w:color="auto"/>
            <w:right w:val="none" w:sz="0" w:space="0" w:color="auto"/>
          </w:divBdr>
        </w:div>
      </w:divsChild>
    </w:div>
    <w:div w:id="220482847">
      <w:bodyDiv w:val="1"/>
      <w:marLeft w:val="0"/>
      <w:marRight w:val="0"/>
      <w:marTop w:val="0"/>
      <w:marBottom w:val="0"/>
      <w:divBdr>
        <w:top w:val="none" w:sz="0" w:space="0" w:color="auto"/>
        <w:left w:val="none" w:sz="0" w:space="0" w:color="auto"/>
        <w:bottom w:val="none" w:sz="0" w:space="0" w:color="auto"/>
        <w:right w:val="none" w:sz="0" w:space="0" w:color="auto"/>
      </w:divBdr>
      <w:divsChild>
        <w:div w:id="967516186">
          <w:marLeft w:val="0"/>
          <w:marRight w:val="0"/>
          <w:marTop w:val="0"/>
          <w:marBottom w:val="0"/>
          <w:divBdr>
            <w:top w:val="none" w:sz="0" w:space="0" w:color="auto"/>
            <w:left w:val="none" w:sz="0" w:space="0" w:color="auto"/>
            <w:bottom w:val="none" w:sz="0" w:space="0" w:color="auto"/>
            <w:right w:val="none" w:sz="0" w:space="0" w:color="auto"/>
          </w:divBdr>
          <w:divsChild>
            <w:div w:id="1466699331">
              <w:marLeft w:val="0"/>
              <w:marRight w:val="0"/>
              <w:marTop w:val="0"/>
              <w:marBottom w:val="0"/>
              <w:divBdr>
                <w:top w:val="none" w:sz="0" w:space="0" w:color="auto"/>
                <w:left w:val="none" w:sz="0" w:space="0" w:color="auto"/>
                <w:bottom w:val="none" w:sz="0" w:space="0" w:color="auto"/>
                <w:right w:val="none" w:sz="0" w:space="0" w:color="auto"/>
              </w:divBdr>
              <w:divsChild>
                <w:div w:id="37408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6351171">
      <w:bodyDiv w:val="1"/>
      <w:marLeft w:val="0"/>
      <w:marRight w:val="0"/>
      <w:marTop w:val="0"/>
      <w:marBottom w:val="0"/>
      <w:divBdr>
        <w:top w:val="none" w:sz="0" w:space="0" w:color="auto"/>
        <w:left w:val="none" w:sz="0" w:space="0" w:color="auto"/>
        <w:bottom w:val="none" w:sz="0" w:space="0" w:color="auto"/>
        <w:right w:val="none" w:sz="0" w:space="0" w:color="auto"/>
      </w:divBdr>
      <w:divsChild>
        <w:div w:id="1687094990">
          <w:marLeft w:val="0"/>
          <w:marRight w:val="0"/>
          <w:marTop w:val="0"/>
          <w:marBottom w:val="0"/>
          <w:divBdr>
            <w:top w:val="none" w:sz="0" w:space="0" w:color="auto"/>
            <w:left w:val="none" w:sz="0" w:space="0" w:color="auto"/>
            <w:bottom w:val="none" w:sz="0" w:space="0" w:color="auto"/>
            <w:right w:val="none" w:sz="0" w:space="0" w:color="auto"/>
          </w:divBdr>
          <w:divsChild>
            <w:div w:id="1013646204">
              <w:marLeft w:val="0"/>
              <w:marRight w:val="0"/>
              <w:marTop w:val="0"/>
              <w:marBottom w:val="0"/>
              <w:divBdr>
                <w:top w:val="none" w:sz="0" w:space="0" w:color="auto"/>
                <w:left w:val="none" w:sz="0" w:space="0" w:color="auto"/>
                <w:bottom w:val="none" w:sz="0" w:space="0" w:color="auto"/>
                <w:right w:val="none" w:sz="0" w:space="0" w:color="auto"/>
              </w:divBdr>
            </w:div>
            <w:div w:id="1135174031">
              <w:marLeft w:val="0"/>
              <w:marRight w:val="0"/>
              <w:marTop w:val="0"/>
              <w:marBottom w:val="0"/>
              <w:divBdr>
                <w:top w:val="none" w:sz="0" w:space="0" w:color="auto"/>
                <w:left w:val="none" w:sz="0" w:space="0" w:color="auto"/>
                <w:bottom w:val="none" w:sz="0" w:space="0" w:color="auto"/>
                <w:right w:val="none" w:sz="0" w:space="0" w:color="auto"/>
              </w:divBdr>
            </w:div>
            <w:div w:id="1559780096">
              <w:marLeft w:val="0"/>
              <w:marRight w:val="0"/>
              <w:marTop w:val="0"/>
              <w:marBottom w:val="0"/>
              <w:divBdr>
                <w:top w:val="none" w:sz="0" w:space="0" w:color="auto"/>
                <w:left w:val="none" w:sz="0" w:space="0" w:color="auto"/>
                <w:bottom w:val="none" w:sz="0" w:space="0" w:color="auto"/>
                <w:right w:val="none" w:sz="0" w:space="0" w:color="auto"/>
              </w:divBdr>
            </w:div>
            <w:div w:id="1012489488">
              <w:marLeft w:val="0"/>
              <w:marRight w:val="0"/>
              <w:marTop w:val="0"/>
              <w:marBottom w:val="0"/>
              <w:divBdr>
                <w:top w:val="none" w:sz="0" w:space="0" w:color="auto"/>
                <w:left w:val="none" w:sz="0" w:space="0" w:color="auto"/>
                <w:bottom w:val="none" w:sz="0" w:space="0" w:color="auto"/>
                <w:right w:val="none" w:sz="0" w:space="0" w:color="auto"/>
              </w:divBdr>
              <w:divsChild>
                <w:div w:id="1063865991">
                  <w:marLeft w:val="0"/>
                  <w:marRight w:val="0"/>
                  <w:marTop w:val="0"/>
                  <w:marBottom w:val="0"/>
                  <w:divBdr>
                    <w:top w:val="none" w:sz="0" w:space="0" w:color="auto"/>
                    <w:left w:val="none" w:sz="0" w:space="0" w:color="auto"/>
                    <w:bottom w:val="none" w:sz="0" w:space="0" w:color="auto"/>
                    <w:right w:val="none" w:sz="0" w:space="0" w:color="auto"/>
                  </w:divBdr>
                  <w:divsChild>
                    <w:div w:id="706951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565781">
      <w:bodyDiv w:val="1"/>
      <w:marLeft w:val="0"/>
      <w:marRight w:val="0"/>
      <w:marTop w:val="0"/>
      <w:marBottom w:val="0"/>
      <w:divBdr>
        <w:top w:val="none" w:sz="0" w:space="0" w:color="auto"/>
        <w:left w:val="none" w:sz="0" w:space="0" w:color="auto"/>
        <w:bottom w:val="none" w:sz="0" w:space="0" w:color="auto"/>
        <w:right w:val="none" w:sz="0" w:space="0" w:color="auto"/>
      </w:divBdr>
      <w:divsChild>
        <w:div w:id="752169601">
          <w:marLeft w:val="0"/>
          <w:marRight w:val="0"/>
          <w:marTop w:val="0"/>
          <w:marBottom w:val="0"/>
          <w:divBdr>
            <w:top w:val="none" w:sz="0" w:space="0" w:color="auto"/>
            <w:left w:val="none" w:sz="0" w:space="0" w:color="auto"/>
            <w:bottom w:val="none" w:sz="0" w:space="0" w:color="auto"/>
            <w:right w:val="none" w:sz="0" w:space="0" w:color="auto"/>
          </w:divBdr>
          <w:divsChild>
            <w:div w:id="763653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551169">
      <w:bodyDiv w:val="1"/>
      <w:marLeft w:val="0"/>
      <w:marRight w:val="0"/>
      <w:marTop w:val="0"/>
      <w:marBottom w:val="0"/>
      <w:divBdr>
        <w:top w:val="none" w:sz="0" w:space="0" w:color="auto"/>
        <w:left w:val="none" w:sz="0" w:space="0" w:color="auto"/>
        <w:bottom w:val="none" w:sz="0" w:space="0" w:color="auto"/>
        <w:right w:val="none" w:sz="0" w:space="0" w:color="auto"/>
      </w:divBdr>
      <w:divsChild>
        <w:div w:id="1178423702">
          <w:marLeft w:val="0"/>
          <w:marRight w:val="0"/>
          <w:marTop w:val="0"/>
          <w:marBottom w:val="0"/>
          <w:divBdr>
            <w:top w:val="none" w:sz="0" w:space="0" w:color="auto"/>
            <w:left w:val="none" w:sz="0" w:space="0" w:color="auto"/>
            <w:bottom w:val="none" w:sz="0" w:space="0" w:color="auto"/>
            <w:right w:val="none" w:sz="0" w:space="0" w:color="auto"/>
          </w:divBdr>
          <w:divsChild>
            <w:div w:id="1134979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983621">
      <w:bodyDiv w:val="1"/>
      <w:marLeft w:val="0"/>
      <w:marRight w:val="0"/>
      <w:marTop w:val="0"/>
      <w:marBottom w:val="0"/>
      <w:divBdr>
        <w:top w:val="none" w:sz="0" w:space="0" w:color="auto"/>
        <w:left w:val="none" w:sz="0" w:space="0" w:color="auto"/>
        <w:bottom w:val="none" w:sz="0" w:space="0" w:color="auto"/>
        <w:right w:val="none" w:sz="0" w:space="0" w:color="auto"/>
      </w:divBdr>
      <w:divsChild>
        <w:div w:id="690030333">
          <w:marLeft w:val="0"/>
          <w:marRight w:val="0"/>
          <w:marTop w:val="0"/>
          <w:marBottom w:val="0"/>
          <w:divBdr>
            <w:top w:val="none" w:sz="0" w:space="0" w:color="auto"/>
            <w:left w:val="none" w:sz="0" w:space="0" w:color="auto"/>
            <w:bottom w:val="none" w:sz="0" w:space="0" w:color="auto"/>
            <w:right w:val="none" w:sz="0" w:space="0" w:color="auto"/>
          </w:divBdr>
          <w:divsChild>
            <w:div w:id="1883707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217280">
      <w:bodyDiv w:val="1"/>
      <w:marLeft w:val="0"/>
      <w:marRight w:val="0"/>
      <w:marTop w:val="0"/>
      <w:marBottom w:val="0"/>
      <w:divBdr>
        <w:top w:val="none" w:sz="0" w:space="0" w:color="auto"/>
        <w:left w:val="none" w:sz="0" w:space="0" w:color="auto"/>
        <w:bottom w:val="none" w:sz="0" w:space="0" w:color="auto"/>
        <w:right w:val="none" w:sz="0" w:space="0" w:color="auto"/>
      </w:divBdr>
      <w:divsChild>
        <w:div w:id="541484331">
          <w:marLeft w:val="0"/>
          <w:marRight w:val="0"/>
          <w:marTop w:val="0"/>
          <w:marBottom w:val="0"/>
          <w:divBdr>
            <w:top w:val="none" w:sz="0" w:space="0" w:color="auto"/>
            <w:left w:val="none" w:sz="0" w:space="0" w:color="auto"/>
            <w:bottom w:val="none" w:sz="0" w:space="0" w:color="auto"/>
            <w:right w:val="none" w:sz="0" w:space="0" w:color="auto"/>
          </w:divBdr>
          <w:divsChild>
            <w:div w:id="1220244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763921">
      <w:bodyDiv w:val="1"/>
      <w:marLeft w:val="0"/>
      <w:marRight w:val="0"/>
      <w:marTop w:val="0"/>
      <w:marBottom w:val="0"/>
      <w:divBdr>
        <w:top w:val="none" w:sz="0" w:space="0" w:color="auto"/>
        <w:left w:val="none" w:sz="0" w:space="0" w:color="auto"/>
        <w:bottom w:val="none" w:sz="0" w:space="0" w:color="auto"/>
        <w:right w:val="none" w:sz="0" w:space="0" w:color="auto"/>
      </w:divBdr>
      <w:divsChild>
        <w:div w:id="1396203111">
          <w:marLeft w:val="0"/>
          <w:marRight w:val="0"/>
          <w:marTop w:val="0"/>
          <w:marBottom w:val="0"/>
          <w:divBdr>
            <w:top w:val="none" w:sz="0" w:space="0" w:color="auto"/>
            <w:left w:val="none" w:sz="0" w:space="0" w:color="auto"/>
            <w:bottom w:val="none" w:sz="0" w:space="0" w:color="auto"/>
            <w:right w:val="none" w:sz="0" w:space="0" w:color="auto"/>
          </w:divBdr>
          <w:divsChild>
            <w:div w:id="195266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764784">
      <w:bodyDiv w:val="1"/>
      <w:marLeft w:val="0"/>
      <w:marRight w:val="0"/>
      <w:marTop w:val="0"/>
      <w:marBottom w:val="0"/>
      <w:divBdr>
        <w:top w:val="none" w:sz="0" w:space="0" w:color="auto"/>
        <w:left w:val="none" w:sz="0" w:space="0" w:color="auto"/>
        <w:bottom w:val="none" w:sz="0" w:space="0" w:color="auto"/>
        <w:right w:val="none" w:sz="0" w:space="0" w:color="auto"/>
      </w:divBdr>
      <w:divsChild>
        <w:div w:id="2097747134">
          <w:marLeft w:val="0"/>
          <w:marRight w:val="0"/>
          <w:marTop w:val="0"/>
          <w:marBottom w:val="0"/>
          <w:divBdr>
            <w:top w:val="none" w:sz="0" w:space="0" w:color="auto"/>
            <w:left w:val="none" w:sz="0" w:space="0" w:color="auto"/>
            <w:bottom w:val="none" w:sz="0" w:space="0" w:color="auto"/>
            <w:right w:val="none" w:sz="0" w:space="0" w:color="auto"/>
          </w:divBdr>
          <w:divsChild>
            <w:div w:id="296183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201156">
      <w:bodyDiv w:val="1"/>
      <w:marLeft w:val="0"/>
      <w:marRight w:val="0"/>
      <w:marTop w:val="0"/>
      <w:marBottom w:val="0"/>
      <w:divBdr>
        <w:top w:val="none" w:sz="0" w:space="0" w:color="auto"/>
        <w:left w:val="none" w:sz="0" w:space="0" w:color="auto"/>
        <w:bottom w:val="none" w:sz="0" w:space="0" w:color="auto"/>
        <w:right w:val="none" w:sz="0" w:space="0" w:color="auto"/>
      </w:divBdr>
      <w:divsChild>
        <w:div w:id="31931558">
          <w:marLeft w:val="0"/>
          <w:marRight w:val="0"/>
          <w:marTop w:val="0"/>
          <w:marBottom w:val="0"/>
          <w:divBdr>
            <w:top w:val="none" w:sz="0" w:space="0" w:color="auto"/>
            <w:left w:val="none" w:sz="0" w:space="0" w:color="auto"/>
            <w:bottom w:val="none" w:sz="0" w:space="0" w:color="auto"/>
            <w:right w:val="none" w:sz="0" w:space="0" w:color="auto"/>
          </w:divBdr>
          <w:divsChild>
            <w:div w:id="392700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540337">
      <w:bodyDiv w:val="1"/>
      <w:marLeft w:val="0"/>
      <w:marRight w:val="0"/>
      <w:marTop w:val="0"/>
      <w:marBottom w:val="0"/>
      <w:divBdr>
        <w:top w:val="none" w:sz="0" w:space="0" w:color="auto"/>
        <w:left w:val="none" w:sz="0" w:space="0" w:color="auto"/>
        <w:bottom w:val="none" w:sz="0" w:space="0" w:color="auto"/>
        <w:right w:val="none" w:sz="0" w:space="0" w:color="auto"/>
      </w:divBdr>
      <w:divsChild>
        <w:div w:id="441874709">
          <w:marLeft w:val="0"/>
          <w:marRight w:val="0"/>
          <w:marTop w:val="0"/>
          <w:marBottom w:val="0"/>
          <w:divBdr>
            <w:top w:val="none" w:sz="0" w:space="0" w:color="auto"/>
            <w:left w:val="none" w:sz="0" w:space="0" w:color="auto"/>
            <w:bottom w:val="none" w:sz="0" w:space="0" w:color="auto"/>
            <w:right w:val="none" w:sz="0" w:space="0" w:color="auto"/>
          </w:divBdr>
          <w:divsChild>
            <w:div w:id="89207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758739">
      <w:bodyDiv w:val="1"/>
      <w:marLeft w:val="0"/>
      <w:marRight w:val="0"/>
      <w:marTop w:val="0"/>
      <w:marBottom w:val="0"/>
      <w:divBdr>
        <w:top w:val="none" w:sz="0" w:space="0" w:color="auto"/>
        <w:left w:val="none" w:sz="0" w:space="0" w:color="auto"/>
        <w:bottom w:val="none" w:sz="0" w:space="0" w:color="auto"/>
        <w:right w:val="none" w:sz="0" w:space="0" w:color="auto"/>
      </w:divBdr>
      <w:divsChild>
        <w:div w:id="1672098064">
          <w:marLeft w:val="0"/>
          <w:marRight w:val="0"/>
          <w:marTop w:val="0"/>
          <w:marBottom w:val="0"/>
          <w:divBdr>
            <w:top w:val="none" w:sz="0" w:space="0" w:color="auto"/>
            <w:left w:val="none" w:sz="0" w:space="0" w:color="auto"/>
            <w:bottom w:val="none" w:sz="0" w:space="0" w:color="auto"/>
            <w:right w:val="none" w:sz="0" w:space="0" w:color="auto"/>
          </w:divBdr>
          <w:divsChild>
            <w:div w:id="289626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103305">
      <w:bodyDiv w:val="1"/>
      <w:marLeft w:val="0"/>
      <w:marRight w:val="0"/>
      <w:marTop w:val="0"/>
      <w:marBottom w:val="0"/>
      <w:divBdr>
        <w:top w:val="none" w:sz="0" w:space="0" w:color="auto"/>
        <w:left w:val="none" w:sz="0" w:space="0" w:color="auto"/>
        <w:bottom w:val="none" w:sz="0" w:space="0" w:color="auto"/>
        <w:right w:val="none" w:sz="0" w:space="0" w:color="auto"/>
      </w:divBdr>
      <w:divsChild>
        <w:div w:id="458499831">
          <w:marLeft w:val="0"/>
          <w:marRight w:val="0"/>
          <w:marTop w:val="0"/>
          <w:marBottom w:val="0"/>
          <w:divBdr>
            <w:top w:val="none" w:sz="0" w:space="0" w:color="auto"/>
            <w:left w:val="none" w:sz="0" w:space="0" w:color="auto"/>
            <w:bottom w:val="none" w:sz="0" w:space="0" w:color="auto"/>
            <w:right w:val="none" w:sz="0" w:space="0" w:color="auto"/>
          </w:divBdr>
          <w:divsChild>
            <w:div w:id="718942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182754">
      <w:bodyDiv w:val="1"/>
      <w:marLeft w:val="0"/>
      <w:marRight w:val="0"/>
      <w:marTop w:val="0"/>
      <w:marBottom w:val="0"/>
      <w:divBdr>
        <w:top w:val="none" w:sz="0" w:space="0" w:color="auto"/>
        <w:left w:val="none" w:sz="0" w:space="0" w:color="auto"/>
        <w:bottom w:val="none" w:sz="0" w:space="0" w:color="auto"/>
        <w:right w:val="none" w:sz="0" w:space="0" w:color="auto"/>
      </w:divBdr>
      <w:divsChild>
        <w:div w:id="134681187">
          <w:marLeft w:val="0"/>
          <w:marRight w:val="0"/>
          <w:marTop w:val="0"/>
          <w:marBottom w:val="0"/>
          <w:divBdr>
            <w:top w:val="none" w:sz="0" w:space="0" w:color="auto"/>
            <w:left w:val="none" w:sz="0" w:space="0" w:color="auto"/>
            <w:bottom w:val="none" w:sz="0" w:space="0" w:color="auto"/>
            <w:right w:val="none" w:sz="0" w:space="0" w:color="auto"/>
          </w:divBdr>
          <w:divsChild>
            <w:div w:id="2097290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906682">
      <w:bodyDiv w:val="1"/>
      <w:marLeft w:val="0"/>
      <w:marRight w:val="0"/>
      <w:marTop w:val="0"/>
      <w:marBottom w:val="0"/>
      <w:divBdr>
        <w:top w:val="none" w:sz="0" w:space="0" w:color="auto"/>
        <w:left w:val="none" w:sz="0" w:space="0" w:color="auto"/>
        <w:bottom w:val="none" w:sz="0" w:space="0" w:color="auto"/>
        <w:right w:val="none" w:sz="0" w:space="0" w:color="auto"/>
      </w:divBdr>
      <w:divsChild>
        <w:div w:id="1351838737">
          <w:marLeft w:val="0"/>
          <w:marRight w:val="0"/>
          <w:marTop w:val="0"/>
          <w:marBottom w:val="0"/>
          <w:divBdr>
            <w:top w:val="none" w:sz="0" w:space="0" w:color="auto"/>
            <w:left w:val="none" w:sz="0" w:space="0" w:color="auto"/>
            <w:bottom w:val="none" w:sz="0" w:space="0" w:color="auto"/>
            <w:right w:val="none" w:sz="0" w:space="0" w:color="auto"/>
          </w:divBdr>
          <w:divsChild>
            <w:div w:id="75801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78473">
      <w:bodyDiv w:val="1"/>
      <w:marLeft w:val="0"/>
      <w:marRight w:val="0"/>
      <w:marTop w:val="0"/>
      <w:marBottom w:val="0"/>
      <w:divBdr>
        <w:top w:val="none" w:sz="0" w:space="0" w:color="auto"/>
        <w:left w:val="none" w:sz="0" w:space="0" w:color="auto"/>
        <w:bottom w:val="none" w:sz="0" w:space="0" w:color="auto"/>
        <w:right w:val="none" w:sz="0" w:space="0" w:color="auto"/>
      </w:divBdr>
      <w:divsChild>
        <w:div w:id="364137984">
          <w:marLeft w:val="0"/>
          <w:marRight w:val="0"/>
          <w:marTop w:val="0"/>
          <w:marBottom w:val="0"/>
          <w:divBdr>
            <w:top w:val="none" w:sz="0" w:space="0" w:color="auto"/>
            <w:left w:val="none" w:sz="0" w:space="0" w:color="auto"/>
            <w:bottom w:val="none" w:sz="0" w:space="0" w:color="auto"/>
            <w:right w:val="none" w:sz="0" w:space="0" w:color="auto"/>
          </w:divBdr>
          <w:divsChild>
            <w:div w:id="362439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365761">
      <w:bodyDiv w:val="1"/>
      <w:marLeft w:val="0"/>
      <w:marRight w:val="0"/>
      <w:marTop w:val="0"/>
      <w:marBottom w:val="0"/>
      <w:divBdr>
        <w:top w:val="none" w:sz="0" w:space="0" w:color="auto"/>
        <w:left w:val="none" w:sz="0" w:space="0" w:color="auto"/>
        <w:bottom w:val="none" w:sz="0" w:space="0" w:color="auto"/>
        <w:right w:val="none" w:sz="0" w:space="0" w:color="auto"/>
      </w:divBdr>
      <w:divsChild>
        <w:div w:id="1625116801">
          <w:marLeft w:val="0"/>
          <w:marRight w:val="0"/>
          <w:marTop w:val="0"/>
          <w:marBottom w:val="0"/>
          <w:divBdr>
            <w:top w:val="none" w:sz="0" w:space="0" w:color="auto"/>
            <w:left w:val="none" w:sz="0" w:space="0" w:color="auto"/>
            <w:bottom w:val="none" w:sz="0" w:space="0" w:color="auto"/>
            <w:right w:val="none" w:sz="0" w:space="0" w:color="auto"/>
          </w:divBdr>
        </w:div>
        <w:div w:id="151139658">
          <w:marLeft w:val="0"/>
          <w:marRight w:val="0"/>
          <w:marTop w:val="0"/>
          <w:marBottom w:val="0"/>
          <w:divBdr>
            <w:top w:val="none" w:sz="0" w:space="0" w:color="auto"/>
            <w:left w:val="none" w:sz="0" w:space="0" w:color="auto"/>
            <w:bottom w:val="none" w:sz="0" w:space="0" w:color="auto"/>
            <w:right w:val="none" w:sz="0" w:space="0" w:color="auto"/>
          </w:divBdr>
        </w:div>
      </w:divsChild>
    </w:div>
    <w:div w:id="1928685037">
      <w:bodyDiv w:val="1"/>
      <w:marLeft w:val="0"/>
      <w:marRight w:val="0"/>
      <w:marTop w:val="0"/>
      <w:marBottom w:val="0"/>
      <w:divBdr>
        <w:top w:val="none" w:sz="0" w:space="0" w:color="auto"/>
        <w:left w:val="none" w:sz="0" w:space="0" w:color="auto"/>
        <w:bottom w:val="none" w:sz="0" w:space="0" w:color="auto"/>
        <w:right w:val="none" w:sz="0" w:space="0" w:color="auto"/>
      </w:divBdr>
      <w:divsChild>
        <w:div w:id="1131558121">
          <w:marLeft w:val="0"/>
          <w:marRight w:val="0"/>
          <w:marTop w:val="0"/>
          <w:marBottom w:val="0"/>
          <w:divBdr>
            <w:top w:val="none" w:sz="0" w:space="0" w:color="auto"/>
            <w:left w:val="none" w:sz="0" w:space="0" w:color="auto"/>
            <w:bottom w:val="none" w:sz="0" w:space="0" w:color="auto"/>
            <w:right w:val="none" w:sz="0" w:space="0" w:color="auto"/>
          </w:divBdr>
          <w:divsChild>
            <w:div w:id="46505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656776">
      <w:bodyDiv w:val="1"/>
      <w:marLeft w:val="0"/>
      <w:marRight w:val="0"/>
      <w:marTop w:val="0"/>
      <w:marBottom w:val="0"/>
      <w:divBdr>
        <w:top w:val="none" w:sz="0" w:space="0" w:color="auto"/>
        <w:left w:val="none" w:sz="0" w:space="0" w:color="auto"/>
        <w:bottom w:val="none" w:sz="0" w:space="0" w:color="auto"/>
        <w:right w:val="none" w:sz="0" w:space="0" w:color="auto"/>
      </w:divBdr>
      <w:divsChild>
        <w:div w:id="1510633673">
          <w:marLeft w:val="0"/>
          <w:marRight w:val="0"/>
          <w:marTop w:val="0"/>
          <w:marBottom w:val="0"/>
          <w:divBdr>
            <w:top w:val="none" w:sz="0" w:space="0" w:color="auto"/>
            <w:left w:val="none" w:sz="0" w:space="0" w:color="auto"/>
            <w:bottom w:val="none" w:sz="0" w:space="0" w:color="auto"/>
            <w:right w:val="none" w:sz="0" w:space="0" w:color="auto"/>
          </w:divBdr>
          <w:divsChild>
            <w:div w:id="121878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FF7139-2CF9-E242-98AB-5411DC171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4680</Words>
  <Characters>23309</Characters>
  <Application>Microsoft Macintosh Word</Application>
  <DocSecurity>0</DocSecurity>
  <Lines>364</Lines>
  <Paragraphs>76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27913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2012-03-21T23:04:00Z</cp:lastPrinted>
  <dcterms:created xsi:type="dcterms:W3CDTF">2012-04-30T12:10:00Z</dcterms:created>
  <dcterms:modified xsi:type="dcterms:W3CDTF">2012-06-02T14:07:00Z</dcterms:modified>
  <cp:category/>
</cp:coreProperties>
</file>